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C3239" w14:textId="77777777" w:rsidR="00BD0461" w:rsidRDefault="00BD0461" w:rsidP="00BD0461">
      <w:pPr>
        <w:spacing w:after="0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3BF986F" wp14:editId="4847D176">
            <wp:simplePos x="0" y="0"/>
            <wp:positionH relativeFrom="column">
              <wp:posOffset>3409832</wp:posOffset>
            </wp:positionH>
            <wp:positionV relativeFrom="paragraph">
              <wp:posOffset>-480696</wp:posOffset>
            </wp:positionV>
            <wp:extent cx="2053074" cy="733425"/>
            <wp:effectExtent l="0" t="0" r="4445" b="0"/>
            <wp:wrapNone/>
            <wp:docPr id="1434578086" name="Obrázok 1" descr="Obrázok, na ktorom je grafika, grafický dizajn, písmo, dizajn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brázok, na ktorom je grafika, grafický dizajn, písmo, dizajn&#10;&#10;Automaticky generovaný popi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832" cy="733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063B6E5E" wp14:editId="3105BF1A">
            <wp:simplePos x="0" y="0"/>
            <wp:positionH relativeFrom="column">
              <wp:posOffset>52705</wp:posOffset>
            </wp:positionH>
            <wp:positionV relativeFrom="paragraph">
              <wp:posOffset>-480695</wp:posOffset>
            </wp:positionV>
            <wp:extent cx="2169758" cy="781050"/>
            <wp:effectExtent l="0" t="0" r="0" b="0"/>
            <wp:wrapNone/>
            <wp:docPr id="1857497652" name="Obrázok 2" descr="Obrázok, na ktorom je text, písmo, symbol, snímka obrazovky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rázok, na ktorom je text, písmo, symbol, snímka obrazovky&#10;&#10;Automaticky generovaný popi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182" cy="783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t xml:space="preserve">      </w:t>
      </w:r>
    </w:p>
    <w:p w14:paraId="3922A3BD" w14:textId="77777777" w:rsidR="00474EE7" w:rsidRDefault="00474EE7" w:rsidP="00474EE7">
      <w:pPr>
        <w:spacing w:after="0"/>
        <w:rPr>
          <w:noProof/>
        </w:rPr>
      </w:pPr>
    </w:p>
    <w:p w14:paraId="00F0593D" w14:textId="77777777" w:rsidR="00474EE7" w:rsidRDefault="00474EE7" w:rsidP="00474EE7">
      <w:pPr>
        <w:spacing w:after="0"/>
        <w:rPr>
          <w:noProof/>
        </w:rPr>
      </w:pPr>
    </w:p>
    <w:p w14:paraId="1F9C28E4" w14:textId="77777777" w:rsidR="00474EE7" w:rsidRDefault="00474EE7" w:rsidP="00474EE7">
      <w:pPr>
        <w:spacing w:after="0"/>
        <w:rPr>
          <w:noProof/>
        </w:rPr>
      </w:pPr>
    </w:p>
    <w:p w14:paraId="44D9815B" w14:textId="6F553553" w:rsidR="00474EE7" w:rsidRPr="00851D85" w:rsidRDefault="00474EE7" w:rsidP="00474EE7">
      <w:pPr>
        <w:spacing w:after="0"/>
      </w:pPr>
      <w:r w:rsidRPr="00851D85">
        <w:t>Tlačová správa</w:t>
      </w:r>
    </w:p>
    <w:p w14:paraId="67444CD2" w14:textId="32EBB2DB" w:rsidR="00474EE7" w:rsidRDefault="00474EE7" w:rsidP="00474EE7">
      <w:pPr>
        <w:spacing w:after="0"/>
      </w:pPr>
      <w:r>
        <w:t>Bratislava 5. december</w:t>
      </w:r>
      <w:r w:rsidRPr="00851D85">
        <w:t xml:space="preserve"> 202</w:t>
      </w:r>
      <w:r>
        <w:t>3</w:t>
      </w:r>
    </w:p>
    <w:p w14:paraId="456F4490" w14:textId="77777777" w:rsidR="00474EE7" w:rsidRDefault="00474EE7" w:rsidP="002B1541">
      <w:pPr>
        <w:jc w:val="center"/>
        <w:rPr>
          <w:b/>
          <w:bCs/>
          <w:color w:val="2F5496" w:themeColor="accent1" w:themeShade="BF"/>
          <w:sz w:val="25"/>
          <w:szCs w:val="25"/>
        </w:rPr>
      </w:pPr>
    </w:p>
    <w:p w14:paraId="6A38DC2B" w14:textId="77777777" w:rsidR="00474EE7" w:rsidRDefault="00474EE7" w:rsidP="002B1541">
      <w:pPr>
        <w:jc w:val="center"/>
        <w:rPr>
          <w:b/>
          <w:bCs/>
          <w:color w:val="2F5496" w:themeColor="accent1" w:themeShade="BF"/>
          <w:sz w:val="25"/>
          <w:szCs w:val="25"/>
        </w:rPr>
      </w:pPr>
    </w:p>
    <w:p w14:paraId="249A9CE2" w14:textId="066EF850" w:rsidR="0098274F" w:rsidRPr="002B1541" w:rsidRDefault="0098274F" w:rsidP="002B1541">
      <w:pPr>
        <w:jc w:val="center"/>
        <w:rPr>
          <w:b/>
          <w:bCs/>
          <w:color w:val="2F5496" w:themeColor="accent1" w:themeShade="BF"/>
          <w:sz w:val="25"/>
          <w:szCs w:val="25"/>
        </w:rPr>
      </w:pPr>
      <w:r w:rsidRPr="002B1541">
        <w:rPr>
          <w:b/>
          <w:bCs/>
          <w:color w:val="2F5496" w:themeColor="accent1" w:themeShade="BF"/>
          <w:sz w:val="25"/>
          <w:szCs w:val="25"/>
        </w:rPr>
        <w:t>ZVEREJNENIE VÝSLEDKOV SLOVENSKÝCH 15-ROČNÝCH ŽIAKOV V MEDZINÁRODNEJ ŠTÚDII OECD PISA 20</w:t>
      </w:r>
      <w:r w:rsidR="002B1541">
        <w:rPr>
          <w:b/>
          <w:bCs/>
          <w:color w:val="2F5496" w:themeColor="accent1" w:themeShade="BF"/>
          <w:sz w:val="25"/>
          <w:szCs w:val="25"/>
        </w:rPr>
        <w:t>22</w:t>
      </w:r>
    </w:p>
    <w:p w14:paraId="14FC6B93" w14:textId="77777777" w:rsidR="002B1541" w:rsidRDefault="002B1541"/>
    <w:p w14:paraId="16646EC6" w14:textId="6D460BBF" w:rsidR="00CC7BF8" w:rsidRDefault="0098274F" w:rsidP="002B1541">
      <w:pPr>
        <w:jc w:val="both"/>
      </w:pPr>
      <w:r>
        <w:t>Ministerstvo školstva, vedy, výskumu a športu SR a Národný inštitút vzdelávania a mládeže (</w:t>
      </w:r>
      <w:r w:rsidR="00575A98">
        <w:t>NIVaM</w:t>
      </w:r>
      <w:r>
        <w:t xml:space="preserve">) zverejňujú 5. decembra 2023 výsledky na Slovensku už v poradí </w:t>
      </w:r>
      <w:r w:rsidRPr="00474EE7">
        <w:rPr>
          <w:b/>
          <w:bCs/>
        </w:rPr>
        <w:t>siedmeho cyklu</w:t>
      </w:r>
      <w:r>
        <w:t xml:space="preserve"> medzinárodnej štúdie OECD PISA 2022. Na reprezentatívnej vzorke 15-ročných žiakov na všetkých </w:t>
      </w:r>
      <w:r w:rsidR="00DE3F3C">
        <w:t>druhoch</w:t>
      </w:r>
      <w:r>
        <w:t xml:space="preserve"> škôl sa sledovala úroveň ich vedomostí a zručností z matematickej, čitateľskej</w:t>
      </w:r>
      <w:r w:rsidR="005B474A">
        <w:t xml:space="preserve"> a</w:t>
      </w:r>
      <w:r>
        <w:t xml:space="preserve"> prírodovednej gramotnosti. </w:t>
      </w:r>
      <w:r w:rsidRPr="00474EE7">
        <w:rPr>
          <w:b/>
          <w:bCs/>
        </w:rPr>
        <w:t>Hlavnou</w:t>
      </w:r>
      <w:r>
        <w:t xml:space="preserve"> testovanou </w:t>
      </w:r>
      <w:r w:rsidRPr="00474EE7">
        <w:rPr>
          <w:b/>
          <w:bCs/>
        </w:rPr>
        <w:t>oblasťou</w:t>
      </w:r>
      <w:r>
        <w:t xml:space="preserve"> v tomto cykle bola </w:t>
      </w:r>
      <w:r w:rsidRPr="002B1541">
        <w:rPr>
          <w:b/>
          <w:bCs/>
        </w:rPr>
        <w:t>matematická gramotnosť</w:t>
      </w:r>
      <w:r>
        <w:t>.</w:t>
      </w:r>
    </w:p>
    <w:p w14:paraId="181F6318" w14:textId="77777777" w:rsidR="0098274F" w:rsidRDefault="0098274F"/>
    <w:p w14:paraId="26CA8906" w14:textId="6236FA85" w:rsidR="0098274F" w:rsidRPr="002B1541" w:rsidRDefault="0098274F">
      <w:pPr>
        <w:rPr>
          <w:b/>
          <w:bCs/>
          <w:color w:val="2F5496" w:themeColor="accent1" w:themeShade="BF"/>
        </w:rPr>
      </w:pPr>
      <w:r w:rsidRPr="002B1541">
        <w:rPr>
          <w:b/>
          <w:bCs/>
          <w:color w:val="2F5496" w:themeColor="accent1" w:themeShade="BF"/>
        </w:rPr>
        <w:t>VÝZNAMNÉ ZISTENIA PISA 2022</w:t>
      </w:r>
    </w:p>
    <w:p w14:paraId="581D0324" w14:textId="333D9034" w:rsidR="0098274F" w:rsidRDefault="0098274F" w:rsidP="002B1541">
      <w:pPr>
        <w:jc w:val="both"/>
      </w:pPr>
      <w:r>
        <w:t>V porovnaní s predchádzajúcim cyklom štúdie (PISA 2018), kedy sa slovenskí žiaci v </w:t>
      </w:r>
      <w:r w:rsidRPr="00BF5508">
        <w:rPr>
          <w:b/>
          <w:bCs/>
        </w:rPr>
        <w:t>matematike</w:t>
      </w:r>
      <w:r>
        <w:t xml:space="preserve"> zaradili svojím výkonom do priemeru krajín OECD, v aktuálnom cykle merania (</w:t>
      </w:r>
      <w:r w:rsidRPr="00AE3566">
        <w:rPr>
          <w:b/>
          <w:bCs/>
        </w:rPr>
        <w:t>PISA 2022</w:t>
      </w:r>
      <w:r>
        <w:t xml:space="preserve">) sa </w:t>
      </w:r>
      <w:r w:rsidR="00676DF4">
        <w:t xml:space="preserve">skóre 15-ročných žiakov na Slovensku svojimi hodnotami pohybuje </w:t>
      </w:r>
      <w:r w:rsidR="00676DF4" w:rsidRPr="002B1541">
        <w:rPr>
          <w:b/>
          <w:bCs/>
        </w:rPr>
        <w:t>pod priemerom krajín OECD</w:t>
      </w:r>
      <w:r w:rsidR="00676DF4">
        <w:t>. Podobný výsledok môžeme konštatovať aj v ostatných dvoch sledovaných oblastiach. V </w:t>
      </w:r>
      <w:r w:rsidR="00676DF4" w:rsidRPr="00AE3566">
        <w:rPr>
          <w:b/>
          <w:bCs/>
        </w:rPr>
        <w:t>čitateľskej a prírodovednej</w:t>
      </w:r>
      <w:r w:rsidR="00676DF4">
        <w:t xml:space="preserve"> gramotnosti </w:t>
      </w:r>
      <w:r>
        <w:t>zostal výkon slovenských žiakov, podobne ako v predchádzajúc</w:t>
      </w:r>
      <w:r w:rsidR="00676DF4">
        <w:t>ich</w:t>
      </w:r>
      <w:r>
        <w:t xml:space="preserve"> cykl</w:t>
      </w:r>
      <w:r w:rsidR="00676DF4">
        <w:t>och</w:t>
      </w:r>
      <w:r w:rsidR="005B474A">
        <w:t>,</w:t>
      </w:r>
      <w:r>
        <w:t xml:space="preserve"> </w:t>
      </w:r>
      <w:r w:rsidRPr="002B1541">
        <w:rPr>
          <w:b/>
          <w:bCs/>
        </w:rPr>
        <w:t>pod priemerom krajín OECD</w:t>
      </w:r>
      <w:r>
        <w:t xml:space="preserve">. </w:t>
      </w:r>
      <w:r w:rsidR="002B1541">
        <w:t xml:space="preserve">Je dôležité pripomenúť, že cyklus </w:t>
      </w:r>
      <w:r w:rsidR="002B1541" w:rsidRPr="00AE3566">
        <w:rPr>
          <w:b/>
          <w:bCs/>
        </w:rPr>
        <w:t>PISA 2022</w:t>
      </w:r>
      <w:r w:rsidR="002B1541">
        <w:t xml:space="preserve"> sa realizoval </w:t>
      </w:r>
      <w:r w:rsidR="002B1541" w:rsidRPr="00AE3566">
        <w:rPr>
          <w:b/>
          <w:bCs/>
        </w:rPr>
        <w:t>počas pandémie COVID-19</w:t>
      </w:r>
      <w:r w:rsidR="002B1541">
        <w:t xml:space="preserve">, čo do značnej miery ovplyvnilo zber údajov nielen na Slovensku, ale </w:t>
      </w:r>
      <w:r w:rsidR="00BF5508">
        <w:t xml:space="preserve">platí </w:t>
      </w:r>
      <w:r w:rsidR="005B474A">
        <w:t xml:space="preserve">to </w:t>
      </w:r>
      <w:r w:rsidR="00BF5508">
        <w:t xml:space="preserve">pre </w:t>
      </w:r>
      <w:r w:rsidR="002B1541">
        <w:t>všetk</w:t>
      </w:r>
      <w:r w:rsidR="00BF5508">
        <w:t>y</w:t>
      </w:r>
      <w:r w:rsidR="002B1541">
        <w:t xml:space="preserve"> </w:t>
      </w:r>
      <w:r w:rsidR="00BF5508">
        <w:t>krajiny</w:t>
      </w:r>
      <w:r w:rsidR="002B1541">
        <w:t>, ktoré sa na meraní PISA 2022 zúčastnili.</w:t>
      </w:r>
    </w:p>
    <w:p w14:paraId="01EBAFC0" w14:textId="38446807" w:rsidR="00676DF4" w:rsidRDefault="00676DF4" w:rsidP="008303AF">
      <w:pPr>
        <w:jc w:val="both"/>
      </w:pPr>
      <w:r>
        <w:t xml:space="preserve">Rovnako ako v predchádzajúcich cykloch, aj v </w:t>
      </w:r>
      <w:r w:rsidRPr="00474EE7">
        <w:rPr>
          <w:b/>
          <w:bCs/>
        </w:rPr>
        <w:t>PISA 2022</w:t>
      </w:r>
      <w:r>
        <w:t xml:space="preserve"> bol zaznamenaný </w:t>
      </w:r>
      <w:r w:rsidRPr="008303AF">
        <w:rPr>
          <w:b/>
          <w:bCs/>
        </w:rPr>
        <w:t xml:space="preserve">výrazný percentuálny podiel </w:t>
      </w:r>
      <w:r>
        <w:t xml:space="preserve">slovenských 15-ročných žiakov v tzv. </w:t>
      </w:r>
      <w:r w:rsidRPr="00D91C9E">
        <w:rPr>
          <w:b/>
          <w:bCs/>
        </w:rPr>
        <w:t>rizikovej skupine</w:t>
      </w:r>
      <w:r>
        <w:t xml:space="preserve"> (teda žiakov</w:t>
      </w:r>
      <w:r w:rsidR="0041121E">
        <w:t>, ktorí nedosahujú ani základnú úroveň zručností a vedomostí v danej oblasti)</w:t>
      </w:r>
      <w:r w:rsidR="000D4D68">
        <w:t>,</w:t>
      </w:r>
      <w:r w:rsidR="0041121E">
        <w:t xml:space="preserve"> </w:t>
      </w:r>
      <w:r w:rsidR="000D4D68">
        <w:t>a</w:t>
      </w:r>
      <w:r w:rsidR="0041121E">
        <w:t xml:space="preserve"> to </w:t>
      </w:r>
      <w:r w:rsidR="0041121E" w:rsidRPr="00474EE7">
        <w:rPr>
          <w:b/>
          <w:bCs/>
        </w:rPr>
        <w:t>vo všetkých troch sledovaných oblastiach</w:t>
      </w:r>
      <w:r w:rsidR="0041121E">
        <w:t>.</w:t>
      </w:r>
      <w:r>
        <w:t xml:space="preserve"> </w:t>
      </w:r>
      <w:r w:rsidR="000D4D68" w:rsidRPr="00474EE7">
        <w:rPr>
          <w:b/>
          <w:bCs/>
        </w:rPr>
        <w:t>V porovnaní</w:t>
      </w:r>
      <w:r w:rsidR="000D4D68">
        <w:t xml:space="preserve"> s výsledkami posledného zverejneného cyklu </w:t>
      </w:r>
      <w:r w:rsidR="000D4D68" w:rsidRPr="00474EE7">
        <w:rPr>
          <w:b/>
          <w:bCs/>
        </w:rPr>
        <w:t>PISA 2018</w:t>
      </w:r>
      <w:r w:rsidR="000D4D68">
        <w:t xml:space="preserve"> sa percentuálny podiel žiakov v rizikovej skupine v </w:t>
      </w:r>
      <w:r w:rsidR="000D4D68" w:rsidRPr="00474EE7">
        <w:rPr>
          <w:b/>
          <w:bCs/>
        </w:rPr>
        <w:t>PISA 2022</w:t>
      </w:r>
      <w:r w:rsidR="000D4D68">
        <w:t xml:space="preserve"> u slovenských žiakov </w:t>
      </w:r>
      <w:r w:rsidR="000D4D68" w:rsidRPr="00474EE7">
        <w:rPr>
          <w:b/>
          <w:bCs/>
        </w:rPr>
        <w:t>zvýšil</w:t>
      </w:r>
      <w:r w:rsidR="000D4D68">
        <w:t xml:space="preserve"> – v matematike o </w:t>
      </w:r>
      <w:r w:rsidR="000D4D68" w:rsidRPr="002447B4">
        <w:t>8,</w:t>
      </w:r>
      <w:r w:rsidR="002B1541" w:rsidRPr="002447B4">
        <w:t>2</w:t>
      </w:r>
      <w:r w:rsidR="000D4D68" w:rsidRPr="002447B4">
        <w:t xml:space="preserve"> </w:t>
      </w:r>
      <w:r w:rsidR="000D4D68">
        <w:t>percentuálnych bodov, v čítaní o </w:t>
      </w:r>
      <w:r w:rsidR="000D4D68" w:rsidRPr="00B57D52">
        <w:t>4</w:t>
      </w:r>
      <w:r w:rsidR="000D4D68">
        <w:t xml:space="preserve"> percentuálne body a v prírodných vedách o </w:t>
      </w:r>
      <w:r w:rsidR="000D4D68" w:rsidRPr="009A46D4">
        <w:t>1,4</w:t>
      </w:r>
      <w:r w:rsidR="009C3934" w:rsidRPr="002447B4">
        <w:t xml:space="preserve"> </w:t>
      </w:r>
      <w:r w:rsidR="000D4D68">
        <w:t>percentuálneho bodu.</w:t>
      </w:r>
      <w:r w:rsidR="00D00F22">
        <w:t xml:space="preserve"> V prípade </w:t>
      </w:r>
      <w:r w:rsidR="00D00F22" w:rsidRPr="00474EE7">
        <w:rPr>
          <w:b/>
          <w:bCs/>
        </w:rPr>
        <w:t>matematickej a čitateľskej gramotnosti je rozdiel štatisticky významný</w:t>
      </w:r>
      <w:r w:rsidR="00D00F22">
        <w:t xml:space="preserve">. V prípade </w:t>
      </w:r>
      <w:r w:rsidR="00D00F22" w:rsidRPr="00474EE7">
        <w:rPr>
          <w:b/>
          <w:bCs/>
        </w:rPr>
        <w:t xml:space="preserve">prírodných vied </w:t>
      </w:r>
      <w:r w:rsidR="00D00F22">
        <w:t xml:space="preserve">bol percentuálny podiel žiakov v rizikovej skupine </w:t>
      </w:r>
      <w:r w:rsidR="00D00F22" w:rsidRPr="00474EE7">
        <w:rPr>
          <w:b/>
          <w:bCs/>
        </w:rPr>
        <w:t>porovnateľný</w:t>
      </w:r>
      <w:r w:rsidR="00D00F22">
        <w:t xml:space="preserve"> s rokom 2018.</w:t>
      </w:r>
      <w:r w:rsidR="000D4D68">
        <w:t xml:space="preserve"> Percentuálny podiel slovenských žiakov, ktorí dosiahli </w:t>
      </w:r>
      <w:r w:rsidR="000D4D68" w:rsidRPr="002447B4">
        <w:rPr>
          <w:b/>
          <w:bCs/>
        </w:rPr>
        <w:t>najvyšší výkon</w:t>
      </w:r>
      <w:r w:rsidR="005B474A" w:rsidRPr="00AB5ABD">
        <w:t>,</w:t>
      </w:r>
      <w:r w:rsidR="000D4D68">
        <w:t xml:space="preserve"> je v </w:t>
      </w:r>
      <w:r w:rsidR="000D4D68" w:rsidRPr="00474EE7">
        <w:rPr>
          <w:b/>
          <w:bCs/>
        </w:rPr>
        <w:t>matemati</w:t>
      </w:r>
      <w:r w:rsidR="008303AF" w:rsidRPr="00474EE7">
        <w:rPr>
          <w:b/>
          <w:bCs/>
        </w:rPr>
        <w:t>c</w:t>
      </w:r>
      <w:r w:rsidR="000D4D68" w:rsidRPr="00474EE7">
        <w:rPr>
          <w:b/>
          <w:bCs/>
        </w:rPr>
        <w:t>kej gramotnosti</w:t>
      </w:r>
      <w:r w:rsidR="000D4D68">
        <w:t xml:space="preserve"> na úrovni </w:t>
      </w:r>
      <w:r w:rsidR="008303AF" w:rsidRPr="009A46D4">
        <w:t>7,3</w:t>
      </w:r>
      <w:r w:rsidR="000D4D68" w:rsidRPr="009A46D4">
        <w:t xml:space="preserve"> </w:t>
      </w:r>
      <w:r w:rsidR="000D4D68">
        <w:t>%</w:t>
      </w:r>
      <w:r w:rsidR="008303AF">
        <w:t xml:space="preserve">. V porovnaní s rokom 2018 (podiel slovenských žiakov s výkonom na najvyššej úrovni bol </w:t>
      </w:r>
      <w:r w:rsidR="008303AF" w:rsidRPr="009A46D4">
        <w:t xml:space="preserve">10,7 </w:t>
      </w:r>
      <w:r w:rsidR="008303AF">
        <w:t>%) ide o</w:t>
      </w:r>
      <w:r w:rsidR="00A55BB8">
        <w:t> </w:t>
      </w:r>
      <w:r w:rsidR="00A55BB8" w:rsidRPr="00474EE7">
        <w:rPr>
          <w:b/>
          <w:bCs/>
        </w:rPr>
        <w:t xml:space="preserve">signifikantne </w:t>
      </w:r>
      <w:r w:rsidR="008303AF" w:rsidRPr="00474EE7">
        <w:rPr>
          <w:b/>
          <w:bCs/>
        </w:rPr>
        <w:t>nižšiu hodnotu</w:t>
      </w:r>
      <w:r w:rsidR="00894C72">
        <w:t xml:space="preserve">. V ostatných dvoch oblastiach – </w:t>
      </w:r>
      <w:r w:rsidR="00894C72" w:rsidRPr="00474EE7">
        <w:rPr>
          <w:b/>
          <w:bCs/>
        </w:rPr>
        <w:t>čitateľská a prírodovedná gramotnosť</w:t>
      </w:r>
      <w:r w:rsidR="005B474A">
        <w:rPr>
          <w:b/>
          <w:bCs/>
        </w:rPr>
        <w:t xml:space="preserve"> </w:t>
      </w:r>
      <w:r w:rsidR="005B474A" w:rsidRPr="00AB5ABD">
        <w:t>–</w:t>
      </w:r>
      <w:r w:rsidR="00894C72">
        <w:t xml:space="preserve"> </w:t>
      </w:r>
      <w:r w:rsidR="00AE0763">
        <w:t xml:space="preserve">taktiež došlo k zmenám </w:t>
      </w:r>
      <w:r w:rsidR="005B474A">
        <w:t xml:space="preserve">v </w:t>
      </w:r>
      <w:r w:rsidR="00AE0763">
        <w:t xml:space="preserve">počte žiakov dosahujúcich najvyššiu úroveň gramotnosti. Percentuálny podiel žiakov sa v oblasti </w:t>
      </w:r>
      <w:r w:rsidR="00894C72">
        <w:t>č</w:t>
      </w:r>
      <w:r w:rsidR="002F2D35">
        <w:t>i</w:t>
      </w:r>
      <w:r w:rsidR="00894C72">
        <w:t>tateľsk</w:t>
      </w:r>
      <w:r w:rsidR="00AE0763">
        <w:t>ej</w:t>
      </w:r>
      <w:r w:rsidR="00894C72">
        <w:t xml:space="preserve"> gramotnos</w:t>
      </w:r>
      <w:r w:rsidR="00AE0763">
        <w:t>ti znížil z</w:t>
      </w:r>
      <w:r w:rsidR="005B474A">
        <w:t>o</w:t>
      </w:r>
      <w:r w:rsidR="00AE0763">
        <w:t xml:space="preserve"> </w:t>
      </w:r>
      <w:r w:rsidR="00AE0763" w:rsidRPr="009A46D4">
        <w:t xml:space="preserve">4,6 </w:t>
      </w:r>
      <w:r w:rsidR="00AE0763">
        <w:t xml:space="preserve">% v roku 2018 na </w:t>
      </w:r>
      <w:r w:rsidR="002F2D35" w:rsidRPr="009A46D4">
        <w:t>3</w:t>
      </w:r>
      <w:r w:rsidR="00894C72" w:rsidRPr="009A46D4">
        <w:t>,</w:t>
      </w:r>
      <w:r w:rsidR="002F2D35" w:rsidRPr="009A46D4">
        <w:t>4</w:t>
      </w:r>
      <w:r w:rsidR="00894C72" w:rsidRPr="009A46D4">
        <w:t xml:space="preserve"> </w:t>
      </w:r>
      <w:r w:rsidR="00894C72">
        <w:t xml:space="preserve">% v roku 2022 </w:t>
      </w:r>
      <w:r w:rsidR="00AE0763">
        <w:t>(</w:t>
      </w:r>
      <w:r w:rsidR="008303AF" w:rsidRPr="002447B4">
        <w:t>rozdiel je signifikantný</w:t>
      </w:r>
      <w:r w:rsidR="00AE0763" w:rsidRPr="00D00F22">
        <w:rPr>
          <w:shd w:val="clear" w:color="auto" w:fill="FFFFFF" w:themeFill="background1"/>
        </w:rPr>
        <w:t>)</w:t>
      </w:r>
      <w:r w:rsidR="00AE0763">
        <w:t xml:space="preserve"> a v oblasti </w:t>
      </w:r>
      <w:r w:rsidR="00894C72">
        <w:t>prírodovedn</w:t>
      </w:r>
      <w:r w:rsidR="008303AF">
        <w:t>ej</w:t>
      </w:r>
      <w:r w:rsidR="00894C72">
        <w:t xml:space="preserve"> gramotnos</w:t>
      </w:r>
      <w:r w:rsidR="00AE0763">
        <w:t xml:space="preserve">ti sa zvýšil z </w:t>
      </w:r>
      <w:r w:rsidR="00AE0763" w:rsidRPr="009A46D4">
        <w:t xml:space="preserve">3,7 </w:t>
      </w:r>
      <w:r w:rsidR="00AE0763">
        <w:t xml:space="preserve">% v roku 2018 na </w:t>
      </w:r>
      <w:r w:rsidR="002F2D35" w:rsidRPr="009A46D4">
        <w:t>4</w:t>
      </w:r>
      <w:r w:rsidR="00894C72" w:rsidRPr="009A46D4">
        <w:t>,</w:t>
      </w:r>
      <w:r w:rsidR="002F2D35" w:rsidRPr="009A46D4">
        <w:t>3</w:t>
      </w:r>
      <w:r w:rsidR="00894C72" w:rsidRPr="009A46D4">
        <w:t xml:space="preserve"> </w:t>
      </w:r>
      <w:r w:rsidR="00894C72">
        <w:t>% v roku 2022</w:t>
      </w:r>
      <w:r w:rsidR="00AE0763">
        <w:t xml:space="preserve"> </w:t>
      </w:r>
      <w:r w:rsidR="00AE0763" w:rsidRPr="00BF5508">
        <w:t>(</w:t>
      </w:r>
      <w:r w:rsidR="004537E3" w:rsidRPr="00BF5508">
        <w:t xml:space="preserve">rozdiel nie je </w:t>
      </w:r>
      <w:r w:rsidR="00AE0763" w:rsidRPr="00BF5508">
        <w:t>signifikantn</w:t>
      </w:r>
      <w:r w:rsidR="004537E3" w:rsidRPr="00BF5508">
        <w:t>ý, teda</w:t>
      </w:r>
      <w:r w:rsidR="004537E3">
        <w:t xml:space="preserve"> </w:t>
      </w:r>
      <w:r w:rsidR="005B474A">
        <w:t xml:space="preserve">je </w:t>
      </w:r>
      <w:r w:rsidR="004537E3">
        <w:t>na rovnakej úrovni ako v roku 2018</w:t>
      </w:r>
      <w:r w:rsidR="00AE0763">
        <w:t>).</w:t>
      </w:r>
    </w:p>
    <w:p w14:paraId="2DA72B12" w14:textId="77777777" w:rsidR="00894C72" w:rsidRDefault="00894C72"/>
    <w:p w14:paraId="61282A62" w14:textId="77777777" w:rsidR="008303AF" w:rsidRPr="002B1541" w:rsidRDefault="008303AF" w:rsidP="008303AF">
      <w:pPr>
        <w:rPr>
          <w:b/>
          <w:bCs/>
        </w:rPr>
      </w:pPr>
      <w:r w:rsidRPr="002B1541">
        <w:rPr>
          <w:b/>
          <w:bCs/>
        </w:rPr>
        <w:lastRenderedPageBreak/>
        <w:t xml:space="preserve">VÝSLEDKY V MATEMATICKEJ GRAMOTNOSTI </w:t>
      </w:r>
    </w:p>
    <w:p w14:paraId="5CEED33B" w14:textId="7862E2E1" w:rsidR="008303AF" w:rsidRDefault="008303AF" w:rsidP="00882CAB">
      <w:pPr>
        <w:jc w:val="both"/>
      </w:pPr>
      <w:r w:rsidRPr="0040715C">
        <w:rPr>
          <w:b/>
          <w:bCs/>
        </w:rPr>
        <w:t>Slovenská republika</w:t>
      </w:r>
      <w:r>
        <w:t xml:space="preserve"> dosiahla v matematickej gramotnosti výkon na úrovni </w:t>
      </w:r>
      <w:r w:rsidRPr="0040715C">
        <w:rPr>
          <w:b/>
          <w:bCs/>
        </w:rPr>
        <w:t>464 bodov</w:t>
      </w:r>
      <w:r>
        <w:t xml:space="preserve">. Priemerný výkon krajín </w:t>
      </w:r>
      <w:r w:rsidRPr="0040715C">
        <w:rPr>
          <w:b/>
          <w:bCs/>
        </w:rPr>
        <w:t>OECD</w:t>
      </w:r>
      <w:r>
        <w:t xml:space="preserve"> bol </w:t>
      </w:r>
      <w:r w:rsidRPr="0040715C">
        <w:rPr>
          <w:b/>
          <w:bCs/>
        </w:rPr>
        <w:t>472 bodov</w:t>
      </w:r>
      <w:r>
        <w:t xml:space="preserve">. Výsledok SR v tejto oblasti je </w:t>
      </w:r>
      <w:r w:rsidRPr="008303AF">
        <w:rPr>
          <w:b/>
          <w:bCs/>
        </w:rPr>
        <w:t>pod úrovňou priemeru krajín OECD</w:t>
      </w:r>
      <w:r>
        <w:t xml:space="preserve">. Výkon porovnateľný s výkonom Slovenska dosiahli krajiny Taliansko, Vietnam, Nórsko, Malta, Spojené štáty americké, Chorvátsko, Izrael a Island. Z krajín OECD dosiahlo významne nižší výkon ako SR šesť krajín – Turecko, Grécko, Čile, Mexiko, Kostarika, Kolumbia. </w:t>
      </w:r>
      <w:r w:rsidRPr="0040715C">
        <w:rPr>
          <w:b/>
          <w:bCs/>
        </w:rPr>
        <w:t>V porovnaní</w:t>
      </w:r>
      <w:r>
        <w:t xml:space="preserve"> s predchádzajúcim cyklom štúdie realizovanom v roku </w:t>
      </w:r>
      <w:r w:rsidRPr="0040715C">
        <w:rPr>
          <w:b/>
          <w:bCs/>
        </w:rPr>
        <w:t>2018</w:t>
      </w:r>
      <w:r>
        <w:t xml:space="preserve"> bolo v tejto oblasti v PISA </w:t>
      </w:r>
      <w:r w:rsidRPr="0040715C">
        <w:rPr>
          <w:b/>
          <w:bCs/>
        </w:rPr>
        <w:t>2022</w:t>
      </w:r>
      <w:r>
        <w:t xml:space="preserve"> </w:t>
      </w:r>
      <w:r w:rsidRPr="002447B4">
        <w:t xml:space="preserve">zaznamenané </w:t>
      </w:r>
      <w:r w:rsidRPr="0040715C">
        <w:rPr>
          <w:b/>
          <w:bCs/>
        </w:rPr>
        <w:t>významne</w:t>
      </w:r>
      <w:r w:rsidRPr="002447B4">
        <w:t xml:space="preserve"> </w:t>
      </w:r>
      <w:r w:rsidRPr="002447B4">
        <w:rPr>
          <w:b/>
          <w:bCs/>
        </w:rPr>
        <w:t>nižšie</w:t>
      </w:r>
      <w:r w:rsidRPr="00D91C9E">
        <w:rPr>
          <w:b/>
          <w:bCs/>
        </w:rPr>
        <w:t xml:space="preserve"> priemerné skóre</w:t>
      </w:r>
      <w:r>
        <w:t xml:space="preserve"> slovenských žiakov, a to až </w:t>
      </w:r>
      <w:r w:rsidRPr="0040715C">
        <w:rPr>
          <w:b/>
          <w:bCs/>
        </w:rPr>
        <w:t>o 22 bodov</w:t>
      </w:r>
      <w:r>
        <w:t xml:space="preserve">. V porovnaní s rokom 2012, kedy bola matematická gramotnosť, podobne ako v cykle 2022, hlavnou sledovanou oblasťou, dosiahli 15-roční žiaci na Slovensku </w:t>
      </w:r>
      <w:r w:rsidRPr="002447B4">
        <w:t>signifikantne</w:t>
      </w:r>
      <w:r>
        <w:t xml:space="preserve"> nižší výkon – z</w:t>
      </w:r>
      <w:r w:rsidR="00A55BB8">
        <w:t>o</w:t>
      </w:r>
      <w:r>
        <w:t xml:space="preserve"> 482 bodov v roku 2012 na 464 bodov v roku 2022.  </w:t>
      </w:r>
    </w:p>
    <w:p w14:paraId="512A7246" w14:textId="3B9AD024" w:rsidR="008303AF" w:rsidRDefault="008303AF" w:rsidP="00882CAB">
      <w:pPr>
        <w:jc w:val="both"/>
      </w:pPr>
      <w:r>
        <w:t xml:space="preserve">V oblasti matematickej gramotnosti je percentuálny podiel </w:t>
      </w:r>
      <w:r w:rsidRPr="0040715C">
        <w:rPr>
          <w:b/>
          <w:bCs/>
        </w:rPr>
        <w:t>slovenských žiakov</w:t>
      </w:r>
      <w:r>
        <w:t xml:space="preserve">, ktorí sa svojím výkonom zaradili do </w:t>
      </w:r>
      <w:r w:rsidRPr="0040715C">
        <w:rPr>
          <w:b/>
          <w:bCs/>
        </w:rPr>
        <w:t>rizikovej skupiny</w:t>
      </w:r>
      <w:r w:rsidR="005B474A" w:rsidRPr="00AB5ABD">
        <w:t>,</w:t>
      </w:r>
      <w:r>
        <w:t xml:space="preserve"> na úrovni </w:t>
      </w:r>
      <w:r w:rsidRPr="0040715C">
        <w:rPr>
          <w:b/>
          <w:bCs/>
        </w:rPr>
        <w:t>33,3</w:t>
      </w:r>
      <w:r w:rsidRPr="00511272">
        <w:t xml:space="preserve"> </w:t>
      </w:r>
      <w:r>
        <w:t>%, čo je v porovnaní s percentuálnym podielom žiakov rovnakého veku v rizikovej skupine v rámci krajín OECD o </w:t>
      </w:r>
      <w:r w:rsidRPr="00511272">
        <w:t xml:space="preserve">2,2 </w:t>
      </w:r>
      <w:r>
        <w:t xml:space="preserve">percentuálneho bodu menej. V tomto prípade </w:t>
      </w:r>
      <w:r w:rsidR="00D91C9E" w:rsidRPr="0040715C">
        <w:rPr>
          <w:b/>
          <w:bCs/>
        </w:rPr>
        <w:t>nej</w:t>
      </w:r>
      <w:r w:rsidRPr="0040715C">
        <w:rPr>
          <w:b/>
          <w:bCs/>
        </w:rPr>
        <w:t>de o významný rozdiel</w:t>
      </w:r>
      <w:r>
        <w:t xml:space="preserve">, táto hodnota teda </w:t>
      </w:r>
      <w:r w:rsidRPr="0040715C">
        <w:rPr>
          <w:b/>
          <w:bCs/>
        </w:rPr>
        <w:t>zodpovedá priemernej hodnote krajín OECD</w:t>
      </w:r>
      <w:r>
        <w:t xml:space="preserve">. </w:t>
      </w:r>
    </w:p>
    <w:p w14:paraId="646EBA39" w14:textId="696F5421" w:rsidR="008303AF" w:rsidRDefault="008303AF" w:rsidP="00562412">
      <w:pPr>
        <w:jc w:val="both"/>
      </w:pPr>
      <w:r>
        <w:t xml:space="preserve">Ak však berieme do úvahy percentuálny podiel </w:t>
      </w:r>
      <w:r w:rsidR="00D91C9E">
        <w:t xml:space="preserve">slovenských </w:t>
      </w:r>
      <w:r>
        <w:t xml:space="preserve">žiakov v rámci jednotlivých </w:t>
      </w:r>
      <w:r w:rsidR="00DE3F3C">
        <w:rPr>
          <w:b/>
          <w:bCs/>
        </w:rPr>
        <w:t>druh</w:t>
      </w:r>
      <w:r w:rsidRPr="0040715C">
        <w:rPr>
          <w:b/>
          <w:bCs/>
        </w:rPr>
        <w:t>ov škôl</w:t>
      </w:r>
      <w:r w:rsidR="005B474A" w:rsidRPr="00AB5ABD">
        <w:t>,</w:t>
      </w:r>
      <w:r>
        <w:t xml:space="preserve"> je na mieste konštatovanie, že v </w:t>
      </w:r>
      <w:r w:rsidRPr="0040715C">
        <w:rPr>
          <w:b/>
          <w:bCs/>
        </w:rPr>
        <w:t>porovnaní</w:t>
      </w:r>
      <w:r>
        <w:t xml:space="preserve"> </w:t>
      </w:r>
      <w:r w:rsidRPr="0040715C">
        <w:rPr>
          <w:b/>
          <w:bCs/>
        </w:rPr>
        <w:t>s</w:t>
      </w:r>
      <w:r>
        <w:t xml:space="preserve"> predchádzajúcim cyklom PISA z roku </w:t>
      </w:r>
      <w:r w:rsidRPr="0040715C">
        <w:rPr>
          <w:b/>
          <w:bCs/>
        </w:rPr>
        <w:t>2018</w:t>
      </w:r>
      <w:r>
        <w:t xml:space="preserve"> došlo vo </w:t>
      </w:r>
      <w:r w:rsidRPr="00D91C9E">
        <w:rPr>
          <w:b/>
          <w:bCs/>
        </w:rPr>
        <w:t xml:space="preserve">všetkých </w:t>
      </w:r>
      <w:r w:rsidR="00DE3F3C">
        <w:rPr>
          <w:b/>
          <w:bCs/>
        </w:rPr>
        <w:t>druh</w:t>
      </w:r>
      <w:r w:rsidRPr="00D91C9E">
        <w:rPr>
          <w:b/>
          <w:bCs/>
        </w:rPr>
        <w:t>och škôl k nárastu percentuálneho podielu žiakov v rizikovej skupine</w:t>
      </w:r>
      <w:r>
        <w:t>. Najvyšší rozdiel je viditeľný u žiakov študujúcich v </w:t>
      </w:r>
      <w:r w:rsidRPr="0040715C">
        <w:rPr>
          <w:b/>
          <w:bCs/>
        </w:rPr>
        <w:t>nematuritných učebných odboroch</w:t>
      </w:r>
      <w:r>
        <w:t xml:space="preserve">, kde rozdiel predstavuje až </w:t>
      </w:r>
      <w:r w:rsidRPr="0040715C">
        <w:rPr>
          <w:b/>
          <w:bCs/>
        </w:rPr>
        <w:t>13,7</w:t>
      </w:r>
      <w:r>
        <w:t xml:space="preserve"> percentuálnych bodov (</w:t>
      </w:r>
      <w:r w:rsidR="00D91C9E">
        <w:t>z pôvodných</w:t>
      </w:r>
      <w:r>
        <w:t xml:space="preserve"> 63,4 % v roku 2018 na 77,1 % v roku 2022), pomerne vysoký rozdiel je pozorovateľný aj v prípade žiakov </w:t>
      </w:r>
      <w:r w:rsidRPr="0040715C">
        <w:rPr>
          <w:b/>
          <w:bCs/>
        </w:rPr>
        <w:t>základných škôl</w:t>
      </w:r>
      <w:r>
        <w:t xml:space="preserve"> – rozdiel </w:t>
      </w:r>
      <w:r w:rsidRPr="0040715C">
        <w:rPr>
          <w:b/>
          <w:bCs/>
        </w:rPr>
        <w:t>8,6</w:t>
      </w:r>
      <w:r>
        <w:t xml:space="preserve"> percentuálneho bodu (z pôvodných 34,6 % v roku 2018 na 43,2 % v roku 2022) a žiakov </w:t>
      </w:r>
      <w:r w:rsidRPr="0040715C">
        <w:rPr>
          <w:b/>
          <w:bCs/>
        </w:rPr>
        <w:t>maturitných</w:t>
      </w:r>
      <w:r>
        <w:t xml:space="preserve"> študijných odborov na stredných odborných školách – rozdiel </w:t>
      </w:r>
      <w:r w:rsidRPr="0040715C">
        <w:rPr>
          <w:b/>
          <w:bCs/>
        </w:rPr>
        <w:t>7,</w:t>
      </w:r>
      <w:r w:rsidR="00C4281E" w:rsidRPr="0040715C">
        <w:rPr>
          <w:b/>
          <w:bCs/>
        </w:rPr>
        <w:t>1</w:t>
      </w:r>
      <w:r>
        <w:t xml:space="preserve"> percentuálnych bodov (z pôvodných 17,5 % v roku 2018 na </w:t>
      </w:r>
      <w:r w:rsidR="00C4281E">
        <w:t>24</w:t>
      </w:r>
      <w:r>
        <w:t>,</w:t>
      </w:r>
      <w:r w:rsidR="00C4281E">
        <w:t xml:space="preserve">6 </w:t>
      </w:r>
      <w:r>
        <w:t xml:space="preserve">% v roku 2022). Vo všetkých troch prípadoch </w:t>
      </w:r>
      <w:r w:rsidRPr="0040715C">
        <w:rPr>
          <w:b/>
          <w:bCs/>
        </w:rPr>
        <w:t>ide o štatisticky významný</w:t>
      </w:r>
      <w:r w:rsidR="004D16A1" w:rsidRPr="0040715C">
        <w:rPr>
          <w:b/>
          <w:bCs/>
        </w:rPr>
        <w:t xml:space="preserve"> </w:t>
      </w:r>
      <w:r w:rsidRPr="0040715C">
        <w:rPr>
          <w:b/>
          <w:bCs/>
        </w:rPr>
        <w:t>rozdiel</w:t>
      </w:r>
      <w:r>
        <w:t xml:space="preserve">. Zo získaných údajov je viditeľný aj menší nárast počtu žiakov v rizikovej skupine </w:t>
      </w:r>
      <w:r w:rsidR="00562412">
        <w:t>na</w:t>
      </w:r>
      <w:r>
        <w:t> gymnáziách</w:t>
      </w:r>
      <w:r w:rsidR="00562412">
        <w:t>,</w:t>
      </w:r>
      <w:r>
        <w:t xml:space="preserve"> pričom</w:t>
      </w:r>
      <w:r w:rsidR="00562412">
        <w:t xml:space="preserve"> </w:t>
      </w:r>
      <w:r w:rsidR="00562412" w:rsidRPr="0040715C">
        <w:rPr>
          <w:b/>
          <w:bCs/>
        </w:rPr>
        <w:t>rozdiel</w:t>
      </w:r>
      <w:r w:rsidR="00562412">
        <w:t xml:space="preserve"> (</w:t>
      </w:r>
      <w:r w:rsidR="00562412" w:rsidRPr="0040715C">
        <w:rPr>
          <w:b/>
          <w:bCs/>
        </w:rPr>
        <w:t xml:space="preserve">4-GYM – 1,4 </w:t>
      </w:r>
      <w:r w:rsidR="00562412">
        <w:t>p.</w:t>
      </w:r>
      <w:r w:rsidR="00520D1D">
        <w:t xml:space="preserve"> </w:t>
      </w:r>
      <w:r w:rsidR="00562412">
        <w:t>b</w:t>
      </w:r>
      <w:r w:rsidR="00520D1D">
        <w:t>.</w:t>
      </w:r>
      <w:r w:rsidR="00562412">
        <w:t xml:space="preserve">; </w:t>
      </w:r>
      <w:r w:rsidR="00562412" w:rsidRPr="0040715C">
        <w:rPr>
          <w:b/>
          <w:bCs/>
        </w:rPr>
        <w:t>8-GYM – 2,</w:t>
      </w:r>
      <w:r w:rsidR="002447B4" w:rsidRPr="0040715C">
        <w:rPr>
          <w:b/>
          <w:bCs/>
        </w:rPr>
        <w:t>3</w:t>
      </w:r>
      <w:r w:rsidR="00562412">
        <w:t xml:space="preserve"> p.</w:t>
      </w:r>
      <w:r w:rsidR="00520D1D">
        <w:t xml:space="preserve"> </w:t>
      </w:r>
      <w:r w:rsidR="00562412">
        <w:t>b.)</w:t>
      </w:r>
      <w:r>
        <w:t xml:space="preserve"> v oboch prípadoch </w:t>
      </w:r>
      <w:r w:rsidR="00562412" w:rsidRPr="0040715C">
        <w:rPr>
          <w:b/>
          <w:bCs/>
        </w:rPr>
        <w:t>nie je štatisticky</w:t>
      </w:r>
      <w:r w:rsidRPr="0040715C">
        <w:rPr>
          <w:b/>
          <w:bCs/>
        </w:rPr>
        <w:t xml:space="preserve"> významný</w:t>
      </w:r>
      <w:r w:rsidR="00562412">
        <w:t>, čo znamená, že v tomto prípade je podiel žiakov, ktorí sa zaradili do rizikovej skupiny</w:t>
      </w:r>
      <w:r w:rsidR="00520D1D">
        <w:t>,</w:t>
      </w:r>
      <w:r w:rsidR="00562412">
        <w:t xml:space="preserve"> porovnateľn</w:t>
      </w:r>
      <w:r w:rsidR="00520D1D">
        <w:t>ý</w:t>
      </w:r>
      <w:r w:rsidR="00562412">
        <w:t xml:space="preserve"> s rokom 2018. </w:t>
      </w:r>
    </w:p>
    <w:p w14:paraId="06EB11E6" w14:textId="5DA1D6CB" w:rsidR="008303AF" w:rsidRDefault="008303AF" w:rsidP="002607B5">
      <w:pPr>
        <w:jc w:val="both"/>
      </w:pPr>
      <w:r>
        <w:t xml:space="preserve">Vo všetkých </w:t>
      </w:r>
      <w:r w:rsidR="00520D1D">
        <w:t xml:space="preserve">druhoch </w:t>
      </w:r>
      <w:r>
        <w:t xml:space="preserve">škôl, ktoré boli súčasťou vzorky škôl pre meranie PISA 2022, bolo zaznamenané </w:t>
      </w:r>
      <w:r w:rsidRPr="002607B5">
        <w:rPr>
          <w:b/>
          <w:bCs/>
        </w:rPr>
        <w:t>zníženie podielu žiakov v top skupine</w:t>
      </w:r>
      <w:r>
        <w:t xml:space="preserve">. </w:t>
      </w:r>
      <w:r w:rsidR="0040715C">
        <w:t>K </w:t>
      </w:r>
      <w:r w:rsidR="0040715C" w:rsidRPr="0040715C">
        <w:rPr>
          <w:b/>
          <w:bCs/>
        </w:rPr>
        <w:t>signifikantnému poklesu</w:t>
      </w:r>
      <w:r w:rsidR="0040715C">
        <w:t xml:space="preserve"> percentuálneho podielu žiakov v top skupine však došlo iba na </w:t>
      </w:r>
      <w:r w:rsidR="0040715C" w:rsidRPr="0040715C">
        <w:rPr>
          <w:b/>
          <w:bCs/>
        </w:rPr>
        <w:t>základných školách</w:t>
      </w:r>
      <w:r w:rsidR="0040715C">
        <w:t xml:space="preserve"> (rozdiel 2,3 p.</w:t>
      </w:r>
      <w:r w:rsidR="00520D1D">
        <w:t xml:space="preserve"> </w:t>
      </w:r>
      <w:r w:rsidR="0040715C">
        <w:t xml:space="preserve">b.). </w:t>
      </w:r>
      <w:r>
        <w:t xml:space="preserve">Najvýraznejší pokles je možné vidieť u 8-ročných gymnázií – až </w:t>
      </w:r>
      <w:r w:rsidR="002607B5">
        <w:t xml:space="preserve">o </w:t>
      </w:r>
      <w:r>
        <w:t xml:space="preserve">7,1 percentuálnych bodov (z 35,1 % v roku 2018 na 28 % v roku 2022) a u 4-ročných gymnázií – rozdiel oproti roku 2018 predstavuje 3,7 percentuálnych bodov (z </w:t>
      </w:r>
      <w:r w:rsidR="004D16A1">
        <w:t>28</w:t>
      </w:r>
      <w:r>
        <w:t xml:space="preserve"> % v roku 2018 na </w:t>
      </w:r>
      <w:r w:rsidR="004D16A1">
        <w:t>24,3</w:t>
      </w:r>
      <w:r>
        <w:t xml:space="preserve"> % v</w:t>
      </w:r>
      <w:r w:rsidR="00960CA1">
        <w:t> </w:t>
      </w:r>
      <w:r>
        <w:t>roku 2022)</w:t>
      </w:r>
      <w:r w:rsidR="0040715C">
        <w:t>,</w:t>
      </w:r>
      <w:r w:rsidR="00BF5508">
        <w:t xml:space="preserve"> </w:t>
      </w:r>
      <w:r w:rsidR="0040715C">
        <w:t xml:space="preserve">v ostatných </w:t>
      </w:r>
      <w:r w:rsidR="00520D1D">
        <w:t>druh</w:t>
      </w:r>
      <w:r w:rsidR="0040715C">
        <w:t xml:space="preserve">och škôl </w:t>
      </w:r>
      <w:r w:rsidR="0040715C" w:rsidRPr="002447B4">
        <w:t xml:space="preserve">nedošlo </w:t>
      </w:r>
      <w:r w:rsidR="0040715C">
        <w:t>až</w:t>
      </w:r>
      <w:r w:rsidR="00520D1D">
        <w:t xml:space="preserve"> k</w:t>
      </w:r>
      <w:r w:rsidR="0040715C">
        <w:t xml:space="preserve"> tak</w:t>
      </w:r>
      <w:r w:rsidR="00520D1D">
        <w:t>ému</w:t>
      </w:r>
      <w:r w:rsidR="0040715C">
        <w:t xml:space="preserve"> výraznému poklesu (SOŠ maturitné odbory – rozdiel 2,8 p.</w:t>
      </w:r>
      <w:r w:rsidR="00520D1D">
        <w:t xml:space="preserve"> </w:t>
      </w:r>
      <w:r w:rsidR="0040715C">
        <w:t>b., SOŠ nematuritné odbory – rozdiel 0,1 p.</w:t>
      </w:r>
      <w:r w:rsidR="00520D1D">
        <w:t xml:space="preserve"> </w:t>
      </w:r>
      <w:r w:rsidR="0040715C">
        <w:t xml:space="preserve">b.). </w:t>
      </w:r>
      <w:r>
        <w:t>V</w:t>
      </w:r>
      <w:r w:rsidR="0040715C">
        <w:t>o všetkých</w:t>
      </w:r>
      <w:r w:rsidR="00520D1D">
        <w:t xml:space="preserve"> </w:t>
      </w:r>
      <w:r w:rsidR="0040715C">
        <w:t xml:space="preserve">týchto </w:t>
      </w:r>
      <w:r>
        <w:t xml:space="preserve">prípadoch </w:t>
      </w:r>
      <w:r w:rsidR="00960CA1">
        <w:t xml:space="preserve">nejde </w:t>
      </w:r>
      <w:r>
        <w:t>o </w:t>
      </w:r>
      <w:r w:rsidRPr="002447B4">
        <w:t>štatisticky významný</w:t>
      </w:r>
      <w:r>
        <w:t xml:space="preserve"> rozdiel.   </w:t>
      </w:r>
    </w:p>
    <w:p w14:paraId="0D911DD9" w14:textId="323B90D7" w:rsidR="00722EC3" w:rsidRDefault="00722EC3" w:rsidP="002607B5">
      <w:pPr>
        <w:jc w:val="both"/>
      </w:pPr>
      <w:r>
        <w:t>Ak výsledok Slovenska porovnávame s priemerom krajín OECD</w:t>
      </w:r>
      <w:r w:rsidR="00520D1D">
        <w:t>,</w:t>
      </w:r>
      <w:r>
        <w:t xml:space="preserve"> môžeme skonštatovať, že percentuálny </w:t>
      </w:r>
      <w:r w:rsidRPr="00557534">
        <w:rPr>
          <w:b/>
          <w:bCs/>
        </w:rPr>
        <w:t>podiel našich žiakov v top skupine je významne nižší</w:t>
      </w:r>
      <w:r w:rsidR="0095570A" w:rsidRPr="00557534">
        <w:rPr>
          <w:b/>
          <w:bCs/>
        </w:rPr>
        <w:t xml:space="preserve"> </w:t>
      </w:r>
      <w:r w:rsidRPr="00557534">
        <w:rPr>
          <w:b/>
          <w:bCs/>
        </w:rPr>
        <w:t>ako v priemere krajín OECD</w:t>
      </w:r>
      <w:r>
        <w:t xml:space="preserve"> (o 1,4 percentuálneho bodu).</w:t>
      </w:r>
    </w:p>
    <w:p w14:paraId="0293C65A" w14:textId="77777777" w:rsidR="008303AF" w:rsidRDefault="008303AF" w:rsidP="008303AF"/>
    <w:p w14:paraId="12FF82A7" w14:textId="77777777" w:rsidR="00894C72" w:rsidRPr="002B1541" w:rsidRDefault="00894C72">
      <w:pPr>
        <w:rPr>
          <w:b/>
          <w:bCs/>
        </w:rPr>
      </w:pPr>
      <w:r w:rsidRPr="002B1541">
        <w:rPr>
          <w:b/>
          <w:bCs/>
        </w:rPr>
        <w:t xml:space="preserve">VÝSLEDKY V ČITATEĽSKEJ GRAMOTNOSTI </w:t>
      </w:r>
    </w:p>
    <w:p w14:paraId="632329D4" w14:textId="24BA20F6" w:rsidR="004C30D8" w:rsidRDefault="00894C72" w:rsidP="00BE36FF">
      <w:pPr>
        <w:jc w:val="both"/>
      </w:pPr>
      <w:r w:rsidRPr="0040715C">
        <w:rPr>
          <w:b/>
          <w:bCs/>
        </w:rPr>
        <w:t>Slovenská republika</w:t>
      </w:r>
      <w:r>
        <w:t xml:space="preserve"> dosiahla v čitateľskej gramotnosti výkon na úrovni </w:t>
      </w:r>
      <w:r w:rsidRPr="0040715C">
        <w:rPr>
          <w:b/>
          <w:bCs/>
        </w:rPr>
        <w:t>447</w:t>
      </w:r>
      <w:r w:rsidRPr="0040715C">
        <w:rPr>
          <w:b/>
          <w:bCs/>
          <w:color w:val="70AD47" w:themeColor="accent6"/>
        </w:rPr>
        <w:t xml:space="preserve"> </w:t>
      </w:r>
      <w:r w:rsidRPr="0040715C">
        <w:rPr>
          <w:b/>
          <w:bCs/>
        </w:rPr>
        <w:t>bodov</w:t>
      </w:r>
      <w:r>
        <w:t xml:space="preserve">, priemer krajín </w:t>
      </w:r>
      <w:r w:rsidRPr="0040715C">
        <w:rPr>
          <w:b/>
          <w:bCs/>
        </w:rPr>
        <w:t>OECD</w:t>
      </w:r>
      <w:r>
        <w:t xml:space="preserve"> bol </w:t>
      </w:r>
      <w:r w:rsidRPr="0040715C">
        <w:rPr>
          <w:b/>
          <w:bCs/>
        </w:rPr>
        <w:t>476</w:t>
      </w:r>
      <w:r w:rsidRPr="0040715C">
        <w:rPr>
          <w:b/>
          <w:bCs/>
          <w:color w:val="70AD47" w:themeColor="accent6"/>
        </w:rPr>
        <w:t xml:space="preserve"> </w:t>
      </w:r>
      <w:r w:rsidRPr="0040715C">
        <w:rPr>
          <w:b/>
          <w:bCs/>
        </w:rPr>
        <w:t>bodov</w:t>
      </w:r>
      <w:r>
        <w:t xml:space="preserve">. Tak ako vo všetkých predchádzajúcich cykloch, aj v </w:t>
      </w:r>
      <w:r w:rsidRPr="0040715C">
        <w:rPr>
          <w:b/>
          <w:bCs/>
        </w:rPr>
        <w:t>PISA 2022</w:t>
      </w:r>
      <w:r>
        <w:t xml:space="preserve"> sa výkony slovenských žiakov v čitateľskej gramotnosti nachádzajú </w:t>
      </w:r>
      <w:r w:rsidRPr="00BE36FF">
        <w:rPr>
          <w:b/>
          <w:bCs/>
        </w:rPr>
        <w:t>pod priemerom zúčastnených krajín OECD</w:t>
      </w:r>
      <w:r>
        <w:t xml:space="preserve">. </w:t>
      </w:r>
      <w:r>
        <w:lastRenderedPageBreak/>
        <w:t>Výkon porovnateľný s výkonom Slovenska majú krajiny Čile, Malta a Srbsko. Z krajín OECD dosiahli významne nižšie priemerné výsledky v porovnaní so SR žiaci z </w:t>
      </w:r>
      <w:r w:rsidRPr="00894C72">
        <w:rPr>
          <w:color w:val="000000" w:themeColor="text1"/>
        </w:rPr>
        <w:t>Grécka, Islandu, Mexika, Kostariky a</w:t>
      </w:r>
      <w:r w:rsidR="00520D1D">
        <w:t> </w:t>
      </w:r>
      <w:r w:rsidRPr="00894C72">
        <w:rPr>
          <w:color w:val="000000" w:themeColor="text1"/>
        </w:rPr>
        <w:t>Kolumbie</w:t>
      </w:r>
      <w:r>
        <w:t xml:space="preserve">. V porovnaní s rokom </w:t>
      </w:r>
      <w:r w:rsidRPr="0040715C">
        <w:rPr>
          <w:b/>
          <w:bCs/>
        </w:rPr>
        <w:t>2018</w:t>
      </w:r>
      <w:r>
        <w:t xml:space="preserve">, kedy bola čitateľská gramotnosť zároveň hlavnou sledovanou oblasťou, sa priemerný výkon našich žiakov v uvedenej oblasti </w:t>
      </w:r>
      <w:r w:rsidRPr="0040715C">
        <w:rPr>
          <w:b/>
          <w:bCs/>
        </w:rPr>
        <w:t>znížil o 11 bodov</w:t>
      </w:r>
      <w:r>
        <w:t xml:space="preserve">, čo </w:t>
      </w:r>
      <w:r w:rsidRPr="001D5115">
        <w:t xml:space="preserve">je </w:t>
      </w:r>
      <w:r w:rsidRPr="0040715C">
        <w:rPr>
          <w:b/>
          <w:bCs/>
        </w:rPr>
        <w:t>štatisticky významný rozdiel</w:t>
      </w:r>
      <w:r w:rsidRPr="001D5115">
        <w:t>.</w:t>
      </w:r>
      <w:r>
        <w:t xml:space="preserve"> </w:t>
      </w:r>
    </w:p>
    <w:p w14:paraId="39562DC4" w14:textId="419B7E71" w:rsidR="00240B78" w:rsidRDefault="00894C72" w:rsidP="00C90A08">
      <w:pPr>
        <w:jc w:val="both"/>
      </w:pPr>
      <w:r>
        <w:t xml:space="preserve">V </w:t>
      </w:r>
      <w:r w:rsidRPr="001D5115">
        <w:rPr>
          <w:b/>
          <w:bCs/>
        </w:rPr>
        <w:t>rizikovej</w:t>
      </w:r>
      <w:r>
        <w:t xml:space="preserve"> skupine sa v </w:t>
      </w:r>
      <w:r w:rsidRPr="001D5115">
        <w:rPr>
          <w:b/>
          <w:bCs/>
        </w:rPr>
        <w:t>PISA 20</w:t>
      </w:r>
      <w:r w:rsidR="00B2034C" w:rsidRPr="001D5115">
        <w:rPr>
          <w:b/>
          <w:bCs/>
        </w:rPr>
        <w:t>22</w:t>
      </w:r>
      <w:r>
        <w:t xml:space="preserve"> nachádza </w:t>
      </w:r>
      <w:r w:rsidR="00B2034C" w:rsidRPr="00CF1480">
        <w:rPr>
          <w:b/>
          <w:bCs/>
        </w:rPr>
        <w:t xml:space="preserve">35,4 % </w:t>
      </w:r>
      <w:r w:rsidR="00BE36FF" w:rsidRPr="00CF1480">
        <w:rPr>
          <w:b/>
          <w:bCs/>
        </w:rPr>
        <w:t>slovenských</w:t>
      </w:r>
      <w:r>
        <w:t xml:space="preserve"> žiakov</w:t>
      </w:r>
      <w:r w:rsidR="00B2034C">
        <w:t xml:space="preserve">, čo je </w:t>
      </w:r>
      <w:r w:rsidR="00B2034C" w:rsidRPr="001D5115">
        <w:rPr>
          <w:b/>
          <w:bCs/>
        </w:rPr>
        <w:t>signifikantne</w:t>
      </w:r>
      <w:r w:rsidR="00B2034C">
        <w:t xml:space="preserve"> </w:t>
      </w:r>
      <w:r w:rsidR="00B2034C" w:rsidRPr="001D5115">
        <w:rPr>
          <w:b/>
          <w:bCs/>
        </w:rPr>
        <w:t>viac</w:t>
      </w:r>
      <w:r w:rsidR="00B2034C">
        <w:t xml:space="preserve">, ako bolo zaznamenané v roku </w:t>
      </w:r>
      <w:r w:rsidR="00B2034C" w:rsidRPr="001D5115">
        <w:rPr>
          <w:b/>
          <w:bCs/>
        </w:rPr>
        <w:t>2018</w:t>
      </w:r>
      <w:r>
        <w:t xml:space="preserve"> (</w:t>
      </w:r>
      <w:r w:rsidRPr="006F0616">
        <w:t xml:space="preserve">31,4 </w:t>
      </w:r>
      <w:r>
        <w:t>%)</w:t>
      </w:r>
      <w:r w:rsidR="00B2034C">
        <w:t xml:space="preserve">. </w:t>
      </w:r>
      <w:r>
        <w:t>Títo žiaci nedisponujú ani základn</w:t>
      </w:r>
      <w:r w:rsidR="00B2034C">
        <w:t>ým</w:t>
      </w:r>
      <w:r w:rsidR="00520D1D">
        <w:t>i</w:t>
      </w:r>
      <w:r>
        <w:t xml:space="preserve"> čitateľskými zručnosťami, ktorých nadobudnutie je nevyhnutné pre ďalšie vzdelávanie. Najviac žiakov, ktorí boli na základe svojho výsledku zaradení do rizikovej skupiny, navštevuje nematuritné (učebné) odbory stredných odborných škôl (</w:t>
      </w:r>
      <w:r w:rsidR="00B2034C" w:rsidRPr="008146B9">
        <w:t>75</w:t>
      </w:r>
      <w:r w:rsidRPr="008146B9">
        <w:t xml:space="preserve"> </w:t>
      </w:r>
      <w:r>
        <w:t xml:space="preserve">%) a základné školy </w:t>
      </w:r>
      <w:r w:rsidRPr="008146B9">
        <w:t>(4</w:t>
      </w:r>
      <w:r w:rsidR="00CA426D" w:rsidRPr="008146B9">
        <w:t>7</w:t>
      </w:r>
      <w:r w:rsidRPr="008146B9">
        <w:t>,</w:t>
      </w:r>
      <w:r w:rsidR="00CA426D" w:rsidRPr="008146B9">
        <w:t>1</w:t>
      </w:r>
      <w:r w:rsidRPr="008146B9">
        <w:t xml:space="preserve"> </w:t>
      </w:r>
      <w:r>
        <w:t xml:space="preserve">%). </w:t>
      </w:r>
      <w:r w:rsidR="00CA426D">
        <w:t xml:space="preserve">Vo </w:t>
      </w:r>
      <w:r w:rsidR="00CA426D" w:rsidRPr="00CF1480">
        <w:rPr>
          <w:b/>
          <w:bCs/>
        </w:rPr>
        <w:t xml:space="preserve">všetkých </w:t>
      </w:r>
      <w:r w:rsidR="00520D1D">
        <w:rPr>
          <w:b/>
          <w:bCs/>
        </w:rPr>
        <w:t>druh</w:t>
      </w:r>
      <w:r w:rsidR="00CA426D" w:rsidRPr="00CF1480">
        <w:rPr>
          <w:b/>
          <w:bCs/>
        </w:rPr>
        <w:t>och škôl</w:t>
      </w:r>
      <w:r w:rsidR="00CA426D">
        <w:t xml:space="preserve"> došlo </w:t>
      </w:r>
      <w:r w:rsidR="00CA426D" w:rsidRPr="00CF1480">
        <w:rPr>
          <w:b/>
          <w:bCs/>
        </w:rPr>
        <w:t>v porovnaní</w:t>
      </w:r>
      <w:r w:rsidR="00CA426D">
        <w:t xml:space="preserve"> s rokom </w:t>
      </w:r>
      <w:r w:rsidR="00CA426D" w:rsidRPr="00CF1480">
        <w:rPr>
          <w:b/>
          <w:bCs/>
        </w:rPr>
        <w:t>2018</w:t>
      </w:r>
      <w:r w:rsidR="00CA426D">
        <w:t xml:space="preserve"> k</w:t>
      </w:r>
      <w:r w:rsidR="0040715C">
        <w:t> </w:t>
      </w:r>
      <w:r w:rsidR="0040715C" w:rsidRPr="0040715C">
        <w:rPr>
          <w:b/>
          <w:bCs/>
        </w:rPr>
        <w:t>štatisticky nevýznamnému</w:t>
      </w:r>
      <w:r w:rsidR="0040715C">
        <w:t xml:space="preserve"> </w:t>
      </w:r>
      <w:r w:rsidR="00CA426D" w:rsidRPr="00BE36FF">
        <w:rPr>
          <w:b/>
          <w:bCs/>
        </w:rPr>
        <w:t>nárastu zastúpenia žiakov v rizikovej skupine</w:t>
      </w:r>
      <w:r w:rsidR="00CA426D">
        <w:t>. Najvyšší nárast bol zaznamenaný v</w:t>
      </w:r>
      <w:r w:rsidR="00502607">
        <w:t> </w:t>
      </w:r>
      <w:r w:rsidR="00CA426D">
        <w:t>rámci</w:t>
      </w:r>
      <w:r w:rsidR="00502607">
        <w:t xml:space="preserve"> nematuritných odborov</w:t>
      </w:r>
      <w:r w:rsidR="00CA426D">
        <w:t xml:space="preserve"> stredných odborných škôl (</w:t>
      </w:r>
      <w:r w:rsidR="00BE36FF">
        <w:t>z</w:t>
      </w:r>
      <w:r w:rsidR="00520D1D">
        <w:t> </w:t>
      </w:r>
      <w:r w:rsidR="00BE36FF">
        <w:t xml:space="preserve">pôvodných </w:t>
      </w:r>
      <w:r w:rsidR="00CA426D" w:rsidRPr="008146B9">
        <w:t xml:space="preserve">65,4 </w:t>
      </w:r>
      <w:r w:rsidR="00CA426D">
        <w:t xml:space="preserve">% v roku 2018 </w:t>
      </w:r>
      <w:r w:rsidR="00BE36FF">
        <w:t xml:space="preserve">na </w:t>
      </w:r>
      <w:r w:rsidR="00CA426D" w:rsidRPr="008146B9">
        <w:t>75</w:t>
      </w:r>
      <w:r w:rsidR="00CA426D">
        <w:t xml:space="preserve"> % v roku 2022). </w:t>
      </w:r>
      <w:r w:rsidR="00BE36FF">
        <w:t xml:space="preserve">Zaujímavým zistením je navýšenie podielu 15-ročných žiakov v rizikovej skupine pre oblasť čitateľskej gramotnosti v 8-ročných gymnáziách, kde evidujeme rozdiel </w:t>
      </w:r>
      <w:r w:rsidR="00BE36FF" w:rsidRPr="008146B9">
        <w:t xml:space="preserve">4,4 </w:t>
      </w:r>
      <w:r w:rsidR="00BE36FF">
        <w:t xml:space="preserve">percentuálnych bodov v porovnaní s rokom 2018 (z pôvodných </w:t>
      </w:r>
      <w:r w:rsidR="00BE36FF" w:rsidRPr="008146B9">
        <w:t xml:space="preserve">2,9 </w:t>
      </w:r>
      <w:r w:rsidR="00BE36FF">
        <w:t xml:space="preserve">% v roku 2018 na </w:t>
      </w:r>
      <w:r w:rsidR="00BE36FF" w:rsidRPr="008146B9">
        <w:t xml:space="preserve">7,3 </w:t>
      </w:r>
      <w:r w:rsidR="00BE36FF">
        <w:t>% v roku 2022)</w:t>
      </w:r>
      <w:r w:rsidR="008146B9">
        <w:t>. Zo štatistického hľadiska však nejde o signifikantnú zmenu.</w:t>
      </w:r>
      <w:r w:rsidR="00BE36FF">
        <w:t xml:space="preserve"> </w:t>
      </w:r>
      <w:r w:rsidR="003F63E0">
        <w:t>Aj napriek tomu, že zo štatistického hľadiska nejde o významný rozdiel, relatívne vysoký podiel 15-ročných žiakov, študentov gymnázií, ktorí nedosahujú ani základnú úroveň zručností a vedomostí v ktorejkoľvek zo sledovaných oblastí</w:t>
      </w:r>
      <w:r w:rsidR="00C4281E">
        <w:t>,</w:t>
      </w:r>
      <w:r w:rsidR="003F63E0">
        <w:t xml:space="preserve"> je </w:t>
      </w:r>
      <w:r w:rsidR="003F63E0" w:rsidRPr="00AB5ABD">
        <w:rPr>
          <w:b/>
          <w:bCs/>
        </w:rPr>
        <w:t>mimoriadne znepokojivý</w:t>
      </w:r>
      <w:r w:rsidR="003F63E0">
        <w:t xml:space="preserve">. </w:t>
      </w:r>
      <w:r w:rsidR="00BE36FF">
        <w:t xml:space="preserve">V ostatných </w:t>
      </w:r>
      <w:r w:rsidR="00520D1D">
        <w:t xml:space="preserve">druhoch </w:t>
      </w:r>
      <w:r w:rsidR="00BE36FF">
        <w:t>škôl došlo</w:t>
      </w:r>
      <w:r w:rsidR="00240B78">
        <w:t xml:space="preserve"> v porovnaní s rokom 2018</w:t>
      </w:r>
      <w:r w:rsidR="00BE36FF">
        <w:t xml:space="preserve"> </w:t>
      </w:r>
      <w:r w:rsidR="001B6A85">
        <w:t xml:space="preserve">tiež </w:t>
      </w:r>
      <w:r w:rsidR="00BE36FF">
        <w:t>k miernemu, nevýznamnému nárastu percentuálneho podielu žiakov v rizikovej skupine</w:t>
      </w:r>
      <w:r w:rsidR="00240B78">
        <w:t xml:space="preserve"> (ZŠ – rozdiel </w:t>
      </w:r>
      <w:r w:rsidR="00240B78" w:rsidRPr="008146B9">
        <w:t>2,5</w:t>
      </w:r>
      <w:r w:rsidR="00240B78" w:rsidRPr="001D5115">
        <w:rPr>
          <w:color w:val="70AD47" w:themeColor="accent6"/>
        </w:rPr>
        <w:t xml:space="preserve"> </w:t>
      </w:r>
      <w:r w:rsidR="00240B78">
        <w:t>p.</w:t>
      </w:r>
      <w:r w:rsidR="00520D1D">
        <w:t xml:space="preserve"> </w:t>
      </w:r>
      <w:r w:rsidR="00240B78">
        <w:t xml:space="preserve">b., </w:t>
      </w:r>
      <w:r w:rsidR="00CF1480">
        <w:t>4</w:t>
      </w:r>
      <w:r w:rsidR="00240B78">
        <w:t xml:space="preserve">-GYM – rozdiel </w:t>
      </w:r>
      <w:r w:rsidR="00240B78" w:rsidRPr="008146B9">
        <w:t xml:space="preserve">1,8 </w:t>
      </w:r>
      <w:r w:rsidR="00240B78">
        <w:t>p.</w:t>
      </w:r>
      <w:r w:rsidR="00520D1D">
        <w:t xml:space="preserve"> </w:t>
      </w:r>
      <w:r w:rsidR="00240B78">
        <w:t>b., SOŠ maturitné</w:t>
      </w:r>
      <w:r w:rsidR="00502607">
        <w:t xml:space="preserve"> odbory</w:t>
      </w:r>
      <w:r w:rsidR="00240B78">
        <w:t xml:space="preserve"> – </w:t>
      </w:r>
      <w:r w:rsidR="00240B78" w:rsidRPr="008146B9">
        <w:t>2,3</w:t>
      </w:r>
      <w:r w:rsidR="00240B78" w:rsidRPr="001D5115">
        <w:rPr>
          <w:color w:val="70AD47" w:themeColor="accent6"/>
        </w:rPr>
        <w:t xml:space="preserve"> </w:t>
      </w:r>
      <w:r w:rsidR="00240B78">
        <w:t>p.</w:t>
      </w:r>
      <w:r w:rsidR="00520D1D">
        <w:t xml:space="preserve"> </w:t>
      </w:r>
      <w:r w:rsidR="00240B78">
        <w:t>b.)</w:t>
      </w:r>
      <w:r w:rsidR="00BE36FF">
        <w:t xml:space="preserve">. </w:t>
      </w:r>
    </w:p>
    <w:p w14:paraId="2E2BE3D6" w14:textId="31737683" w:rsidR="00C90A08" w:rsidRDefault="00C90A08" w:rsidP="00C90A08">
      <w:pPr>
        <w:jc w:val="both"/>
      </w:pPr>
      <w:r>
        <w:t xml:space="preserve">Ak výsledok </w:t>
      </w:r>
      <w:r w:rsidRPr="00CF1480">
        <w:rPr>
          <w:b/>
          <w:bCs/>
        </w:rPr>
        <w:t xml:space="preserve">Slovenska </w:t>
      </w:r>
      <w:r>
        <w:t xml:space="preserve">porovnávame s </w:t>
      </w:r>
      <w:r w:rsidRPr="00CF1480">
        <w:rPr>
          <w:b/>
          <w:bCs/>
        </w:rPr>
        <w:t>priemerom krajín OECD</w:t>
      </w:r>
      <w:r w:rsidR="00520D1D" w:rsidRPr="00AB5ABD">
        <w:t>,</w:t>
      </w:r>
      <w:r w:rsidRPr="00CF1480">
        <w:rPr>
          <w:b/>
          <w:bCs/>
        </w:rPr>
        <w:t xml:space="preserve"> </w:t>
      </w:r>
      <w:r>
        <w:t xml:space="preserve">môžeme skonštatovať, že percentuálny </w:t>
      </w:r>
      <w:r w:rsidRPr="00CF1480">
        <w:rPr>
          <w:b/>
          <w:bCs/>
        </w:rPr>
        <w:t xml:space="preserve">podiel slovenských </w:t>
      </w:r>
      <w:r>
        <w:t xml:space="preserve">žiakov v </w:t>
      </w:r>
      <w:r w:rsidRPr="00CF1480">
        <w:rPr>
          <w:b/>
          <w:bCs/>
        </w:rPr>
        <w:t xml:space="preserve">rizikovej skupine je významne </w:t>
      </w:r>
      <w:r w:rsidR="001B6A85" w:rsidRPr="00CF1480">
        <w:rPr>
          <w:b/>
          <w:bCs/>
        </w:rPr>
        <w:t xml:space="preserve">vyšší </w:t>
      </w:r>
      <w:r w:rsidRPr="00CF1480">
        <w:rPr>
          <w:b/>
          <w:bCs/>
        </w:rPr>
        <w:t xml:space="preserve">ako </w:t>
      </w:r>
      <w:r w:rsidRPr="00557534">
        <w:rPr>
          <w:b/>
          <w:bCs/>
        </w:rPr>
        <w:t>v priemere krajín</w:t>
      </w:r>
      <w:r>
        <w:t xml:space="preserve"> </w:t>
      </w:r>
      <w:r w:rsidRPr="00CF1480">
        <w:rPr>
          <w:b/>
          <w:bCs/>
        </w:rPr>
        <w:t>OECD</w:t>
      </w:r>
      <w:r>
        <w:t xml:space="preserve"> (rozdiel predstavuje </w:t>
      </w:r>
      <w:r w:rsidRPr="00CF1480">
        <w:rPr>
          <w:b/>
          <w:bCs/>
        </w:rPr>
        <w:t>9,1</w:t>
      </w:r>
      <w:r>
        <w:t xml:space="preserve"> percentuáln</w:t>
      </w:r>
      <w:r w:rsidR="00520D1D">
        <w:t>ych</w:t>
      </w:r>
      <w:r>
        <w:t xml:space="preserve"> bod</w:t>
      </w:r>
      <w:r w:rsidR="00520D1D">
        <w:t>ov</w:t>
      </w:r>
      <w:r>
        <w:t>).</w:t>
      </w:r>
    </w:p>
    <w:p w14:paraId="0C1585CD" w14:textId="0988F7CD" w:rsidR="00F20497" w:rsidRDefault="00894C72" w:rsidP="00BB5962">
      <w:pPr>
        <w:jc w:val="both"/>
      </w:pPr>
      <w:r>
        <w:t xml:space="preserve">Percentuálny </w:t>
      </w:r>
      <w:r w:rsidRPr="00C90A08">
        <w:rPr>
          <w:b/>
          <w:bCs/>
        </w:rPr>
        <w:t xml:space="preserve">podiel </w:t>
      </w:r>
      <w:r w:rsidR="00D82FCA">
        <w:rPr>
          <w:b/>
          <w:bCs/>
        </w:rPr>
        <w:t xml:space="preserve">slovenských </w:t>
      </w:r>
      <w:r w:rsidRPr="00C90A08">
        <w:rPr>
          <w:b/>
          <w:bCs/>
        </w:rPr>
        <w:t>žiakov v top skupine</w:t>
      </w:r>
      <w:r>
        <w:t xml:space="preserve"> (v dvoch najvyšších vedomostných úrovniach) sa </w:t>
      </w:r>
      <w:r w:rsidRPr="00F20497">
        <w:rPr>
          <w:b/>
          <w:bCs/>
        </w:rPr>
        <w:t>oproti</w:t>
      </w:r>
      <w:r>
        <w:t xml:space="preserve"> cyklu PISA </w:t>
      </w:r>
      <w:r w:rsidRPr="00F20497">
        <w:rPr>
          <w:b/>
          <w:bCs/>
        </w:rPr>
        <w:t>201</w:t>
      </w:r>
      <w:r w:rsidR="002F2D35" w:rsidRPr="00F20497">
        <w:rPr>
          <w:b/>
          <w:bCs/>
        </w:rPr>
        <w:t>8</w:t>
      </w:r>
      <w:r>
        <w:t xml:space="preserve"> </w:t>
      </w:r>
      <w:r w:rsidRPr="00C90A08">
        <w:rPr>
          <w:b/>
          <w:bCs/>
        </w:rPr>
        <w:t>z</w:t>
      </w:r>
      <w:r w:rsidR="002F2D35" w:rsidRPr="00C90A08">
        <w:rPr>
          <w:b/>
          <w:bCs/>
        </w:rPr>
        <w:t>níž</w:t>
      </w:r>
      <w:r w:rsidRPr="00C90A08">
        <w:rPr>
          <w:b/>
          <w:bCs/>
        </w:rPr>
        <w:t>il</w:t>
      </w:r>
      <w:r>
        <w:t xml:space="preserve"> </w:t>
      </w:r>
      <w:r w:rsidR="000E2C96">
        <w:t>z</w:t>
      </w:r>
      <w:r w:rsidR="00520D1D">
        <w:t>o</w:t>
      </w:r>
      <w:r w:rsidR="000E2C96">
        <w:t xml:space="preserve"> </w:t>
      </w:r>
      <w:r w:rsidR="000E2C96" w:rsidRPr="00324D7A">
        <w:t xml:space="preserve">4,6 </w:t>
      </w:r>
      <w:r w:rsidR="000E2C96">
        <w:t xml:space="preserve">% v roku 2018 na </w:t>
      </w:r>
      <w:r w:rsidR="002F2D35" w:rsidRPr="00324D7A">
        <w:t xml:space="preserve">3,4 </w:t>
      </w:r>
      <w:r w:rsidR="002F2D35">
        <w:t xml:space="preserve">% v roku 2022, pričom rozdiel </w:t>
      </w:r>
      <w:r w:rsidR="002F2D35" w:rsidRPr="00F20497">
        <w:rPr>
          <w:b/>
          <w:bCs/>
        </w:rPr>
        <w:t xml:space="preserve">je </w:t>
      </w:r>
      <w:r w:rsidR="00324D7A" w:rsidRPr="00F20497">
        <w:rPr>
          <w:b/>
          <w:bCs/>
        </w:rPr>
        <w:t xml:space="preserve">štatisticky </w:t>
      </w:r>
      <w:r w:rsidR="002F2D35" w:rsidRPr="00F20497">
        <w:rPr>
          <w:b/>
          <w:bCs/>
        </w:rPr>
        <w:t>významný</w:t>
      </w:r>
      <w:r w:rsidR="002F2D35" w:rsidRPr="002650A5">
        <w:t>.</w:t>
      </w:r>
      <w:r w:rsidR="002F2D35">
        <w:t xml:space="preserve"> </w:t>
      </w:r>
      <w:r w:rsidR="000E2C96">
        <w:t xml:space="preserve">Keď sa sústredíme na zaradenie žiakov do top skupiny v rámci jednotlivých </w:t>
      </w:r>
      <w:r w:rsidR="00520D1D">
        <w:rPr>
          <w:b/>
          <w:bCs/>
        </w:rPr>
        <w:t>druh</w:t>
      </w:r>
      <w:r w:rsidR="000E2C96" w:rsidRPr="00F20497">
        <w:rPr>
          <w:b/>
          <w:bCs/>
        </w:rPr>
        <w:t>ov škôl</w:t>
      </w:r>
      <w:r w:rsidR="000E2C96">
        <w:t xml:space="preserve">, môžeme konštatovať, že takmer vo všetkých </w:t>
      </w:r>
      <w:r w:rsidR="00520D1D">
        <w:t>druh</w:t>
      </w:r>
      <w:r w:rsidR="000E2C96">
        <w:t>och škôl (okrem SOŠ mat</w:t>
      </w:r>
      <w:r w:rsidR="00C90A08">
        <w:t>uritné odbory</w:t>
      </w:r>
      <w:r w:rsidR="000E2C96">
        <w:t xml:space="preserve"> a SOŠ nemat</w:t>
      </w:r>
      <w:r w:rsidR="00C90A08">
        <w:t>uritné odbory</w:t>
      </w:r>
      <w:r w:rsidR="000E2C96">
        <w:t>), ktoré boli súčasťou vzorky v meraní PISA 2022</w:t>
      </w:r>
      <w:r w:rsidR="00C90A08">
        <w:t>,</w:t>
      </w:r>
      <w:r w:rsidR="000E2C96">
        <w:t xml:space="preserve"> došlo </w:t>
      </w:r>
      <w:r w:rsidR="000E2C96" w:rsidRPr="00F20497">
        <w:rPr>
          <w:b/>
          <w:bCs/>
        </w:rPr>
        <w:t>k</w:t>
      </w:r>
      <w:r w:rsidR="00F20497" w:rsidRPr="00F20497">
        <w:rPr>
          <w:b/>
          <w:bCs/>
        </w:rPr>
        <w:t> štatisticky nevýznamnému</w:t>
      </w:r>
      <w:r w:rsidR="000E2C96" w:rsidRPr="00F20497">
        <w:rPr>
          <w:b/>
          <w:bCs/>
        </w:rPr>
        <w:t> poklesu</w:t>
      </w:r>
      <w:r w:rsidR="000E2C96">
        <w:t xml:space="preserve"> percentuálneho podielu 15-ročných žiakov, ktor</w:t>
      </w:r>
      <w:r w:rsidR="00C90A08">
        <w:t>í preukázali</w:t>
      </w:r>
      <w:r w:rsidR="000E2C96">
        <w:t xml:space="preserve"> v čitateľskej gramotnosti</w:t>
      </w:r>
      <w:r w:rsidR="00C90A08">
        <w:t xml:space="preserve"> nadobudnutie</w:t>
      </w:r>
      <w:r w:rsidR="000E2C96">
        <w:t xml:space="preserve"> najvyšš</w:t>
      </w:r>
      <w:r w:rsidR="00C90A08">
        <w:t>ej</w:t>
      </w:r>
      <w:r w:rsidR="000E2C96">
        <w:t xml:space="preserve"> úrov</w:t>
      </w:r>
      <w:r w:rsidR="00C90A08">
        <w:t>ne</w:t>
      </w:r>
      <w:r w:rsidR="000E2C96">
        <w:t xml:space="preserve"> vedomostí a</w:t>
      </w:r>
      <w:r w:rsidR="00C90A08">
        <w:t> </w:t>
      </w:r>
      <w:r w:rsidR="000E2C96">
        <w:t>zručností</w:t>
      </w:r>
      <w:r w:rsidR="00C90A08">
        <w:t>.</w:t>
      </w:r>
      <w:r w:rsidR="000E2C96">
        <w:t xml:space="preserve"> Najväčší rozdiel bol zaznamenaný </w:t>
      </w:r>
      <w:r w:rsidR="000B73E3">
        <w:t>v 8-ročných gymnáziách, kde došlo k poklesu o 5,5 percentuálnych bodov (</w:t>
      </w:r>
      <w:r w:rsidR="000D3F6D">
        <w:t>z </w:t>
      </w:r>
      <w:r w:rsidR="000B73E3">
        <w:t>19,6 % v roku 2018 na 14,1</w:t>
      </w:r>
      <w:r w:rsidR="00DE3F3C">
        <w:t> </w:t>
      </w:r>
      <w:r w:rsidR="000B73E3">
        <w:t xml:space="preserve">% v roku 2022) a v </w:t>
      </w:r>
      <w:r w:rsidR="000E2C96">
        <w:t xml:space="preserve">4-ročných gymnáziách, kde </w:t>
      </w:r>
      <w:r w:rsidR="000B73E3">
        <w:t>sa percentuálny podiel znížil</w:t>
      </w:r>
      <w:r w:rsidR="00203940">
        <w:t xml:space="preserve"> o </w:t>
      </w:r>
      <w:r w:rsidR="00C4281E">
        <w:t>3</w:t>
      </w:r>
      <w:r w:rsidR="00203940">
        <w:t>,4 percentuálnych bodov (z</w:t>
      </w:r>
      <w:r w:rsidR="00DE3F3C">
        <w:t>o</w:t>
      </w:r>
      <w:r w:rsidR="00203940">
        <w:t xml:space="preserve"> </w:t>
      </w:r>
      <w:r w:rsidR="00C4281E">
        <w:t>14</w:t>
      </w:r>
      <w:r w:rsidR="00203940">
        <w:t xml:space="preserve">,7 % v roku 2018 na 11,3 % v roku 2022). </w:t>
      </w:r>
      <w:r w:rsidR="00C90A08">
        <w:t xml:space="preserve">V ostatných </w:t>
      </w:r>
      <w:r w:rsidR="00DE3F3C">
        <w:t>druh</w:t>
      </w:r>
      <w:r w:rsidR="00C90A08">
        <w:t>och škôl nebol zaznamenaný rozdiel v percentuálnom zastúpení žiakov v top skupine v porovnaní s rokom 2018 (ZŠ – rozdiel 0,4 p.</w:t>
      </w:r>
      <w:r w:rsidR="00DE3F3C">
        <w:t xml:space="preserve"> </w:t>
      </w:r>
      <w:r w:rsidR="00C90A08">
        <w:t>b., SOŠ maturitné</w:t>
      </w:r>
      <w:r w:rsidR="00502607">
        <w:t xml:space="preserve"> odbory</w:t>
      </w:r>
      <w:r w:rsidR="00C90A08">
        <w:t xml:space="preserve"> – 0,3 p.</w:t>
      </w:r>
      <w:r w:rsidR="00DE3F3C">
        <w:t xml:space="preserve"> </w:t>
      </w:r>
      <w:r w:rsidR="00C90A08">
        <w:t xml:space="preserve">b., SOŠ nematuritné </w:t>
      </w:r>
      <w:r w:rsidR="00502607">
        <w:t xml:space="preserve">odbory </w:t>
      </w:r>
      <w:r w:rsidR="00C90A08">
        <w:t>– 0 p.</w:t>
      </w:r>
      <w:r w:rsidR="00DE3F3C">
        <w:t xml:space="preserve"> </w:t>
      </w:r>
      <w:r w:rsidR="00C90A08">
        <w:t xml:space="preserve">b.). </w:t>
      </w:r>
    </w:p>
    <w:p w14:paraId="34E21552" w14:textId="514D97F9" w:rsidR="00C90A08" w:rsidRDefault="00894C72" w:rsidP="00BB5962">
      <w:pPr>
        <w:jc w:val="both"/>
      </w:pPr>
      <w:r>
        <w:t xml:space="preserve">Ak </w:t>
      </w:r>
      <w:r w:rsidR="00203940">
        <w:t>v</w:t>
      </w:r>
      <w:r>
        <w:t xml:space="preserve">ýsledok </w:t>
      </w:r>
      <w:r w:rsidRPr="00F20497">
        <w:rPr>
          <w:b/>
          <w:bCs/>
        </w:rPr>
        <w:t>Slovenska</w:t>
      </w:r>
      <w:r>
        <w:t xml:space="preserve"> porovnávame s priemerom </w:t>
      </w:r>
      <w:r w:rsidR="00C90A08">
        <w:t xml:space="preserve">krajín </w:t>
      </w:r>
      <w:r w:rsidRPr="00F20497">
        <w:t>OECD</w:t>
      </w:r>
      <w:r w:rsidR="00DE3F3C">
        <w:t>,</w:t>
      </w:r>
      <w:r>
        <w:t xml:space="preserve"> môžeme skonštatovať, že percentuálny </w:t>
      </w:r>
      <w:r w:rsidRPr="00557534">
        <w:rPr>
          <w:b/>
          <w:bCs/>
        </w:rPr>
        <w:t>podiel našich žiakov v top skupine je významne nižší ako v priemere krajín OECD</w:t>
      </w:r>
      <w:r>
        <w:t xml:space="preserve"> (o </w:t>
      </w:r>
      <w:r w:rsidR="007D484E">
        <w:t>3</w:t>
      </w:r>
      <w:r>
        <w:t>,</w:t>
      </w:r>
      <w:r w:rsidR="00607F1A">
        <w:t>8</w:t>
      </w:r>
      <w:r>
        <w:t xml:space="preserve"> percentuáln</w:t>
      </w:r>
      <w:r w:rsidR="00DE3F3C">
        <w:t>ych</w:t>
      </w:r>
      <w:r>
        <w:t xml:space="preserve"> bod</w:t>
      </w:r>
      <w:r w:rsidR="00DE3F3C">
        <w:t>ov</w:t>
      </w:r>
      <w:r>
        <w:t xml:space="preserve">). </w:t>
      </w:r>
    </w:p>
    <w:p w14:paraId="0A83923E" w14:textId="77777777" w:rsidR="00B97586" w:rsidRDefault="00B97586"/>
    <w:p w14:paraId="0BCE0232" w14:textId="77777777" w:rsidR="0037413B" w:rsidRPr="002B1541" w:rsidRDefault="0037413B">
      <w:pPr>
        <w:rPr>
          <w:b/>
          <w:bCs/>
        </w:rPr>
      </w:pPr>
      <w:r w:rsidRPr="002B1541">
        <w:rPr>
          <w:b/>
          <w:bCs/>
        </w:rPr>
        <w:t xml:space="preserve">VÝSLEDKY V PRÍRODOVEDNEJ GRAMOTNOSTI </w:t>
      </w:r>
    </w:p>
    <w:p w14:paraId="20F7A378" w14:textId="6B9BD05F" w:rsidR="00AF11B4" w:rsidRDefault="0037413B" w:rsidP="007B6F36">
      <w:pPr>
        <w:jc w:val="both"/>
      </w:pPr>
      <w:r w:rsidRPr="00F20497">
        <w:rPr>
          <w:b/>
          <w:bCs/>
        </w:rPr>
        <w:t>Slovenská republika</w:t>
      </w:r>
      <w:r>
        <w:t xml:space="preserve"> dosiahla výkon na úrovni </w:t>
      </w:r>
      <w:r w:rsidRPr="00F20497">
        <w:rPr>
          <w:b/>
          <w:bCs/>
        </w:rPr>
        <w:t>46</w:t>
      </w:r>
      <w:r w:rsidR="00760F41" w:rsidRPr="00F20497">
        <w:rPr>
          <w:b/>
          <w:bCs/>
        </w:rPr>
        <w:t>2</w:t>
      </w:r>
      <w:r w:rsidRPr="000D3F6D">
        <w:rPr>
          <w:color w:val="70AD47" w:themeColor="accent6"/>
        </w:rPr>
        <w:t xml:space="preserve"> </w:t>
      </w:r>
      <w:r>
        <w:t xml:space="preserve">bodov. Priemerný výkon krajín </w:t>
      </w:r>
      <w:r w:rsidRPr="00F20497">
        <w:rPr>
          <w:b/>
          <w:bCs/>
        </w:rPr>
        <w:t>OECD</w:t>
      </w:r>
      <w:r>
        <w:t xml:space="preserve"> bol </w:t>
      </w:r>
      <w:r w:rsidRPr="00F20497">
        <w:rPr>
          <w:b/>
          <w:bCs/>
        </w:rPr>
        <w:t>48</w:t>
      </w:r>
      <w:r w:rsidR="00760F41" w:rsidRPr="00F20497">
        <w:rPr>
          <w:b/>
          <w:bCs/>
        </w:rPr>
        <w:t>5</w:t>
      </w:r>
      <w:r w:rsidRPr="000D3F6D">
        <w:rPr>
          <w:color w:val="70AD47" w:themeColor="accent6"/>
        </w:rPr>
        <w:t xml:space="preserve"> </w:t>
      </w:r>
      <w:r>
        <w:t xml:space="preserve">bodov. Výkon žiakov SR v prírodovednej gramotnosti sa nachádza </w:t>
      </w:r>
      <w:r w:rsidRPr="00F20497">
        <w:rPr>
          <w:b/>
          <w:bCs/>
        </w:rPr>
        <w:t>pod priemerom</w:t>
      </w:r>
      <w:r>
        <w:t xml:space="preserve"> zúčastnených krajín </w:t>
      </w:r>
      <w:r w:rsidRPr="00F20497">
        <w:rPr>
          <w:b/>
          <w:bCs/>
        </w:rPr>
        <w:t>OECD</w:t>
      </w:r>
      <w:r>
        <w:t xml:space="preserve">. Výkon porovnateľný s výkonom SR dosiahli </w:t>
      </w:r>
      <w:r w:rsidR="00760F41">
        <w:t>Malta a Izrael</w:t>
      </w:r>
      <w:r>
        <w:t>. Z krajín OECD dosiahl</w:t>
      </w:r>
      <w:r w:rsidR="00760F41">
        <w:t>o</w:t>
      </w:r>
      <w:r>
        <w:t xml:space="preserve"> významne nižší výkon </w:t>
      </w:r>
      <w:r>
        <w:lastRenderedPageBreak/>
        <w:t xml:space="preserve">ako SR </w:t>
      </w:r>
      <w:r w:rsidR="00760F41">
        <w:t>šesť</w:t>
      </w:r>
      <w:r>
        <w:t xml:space="preserve"> kraj</w:t>
      </w:r>
      <w:r w:rsidR="00760F41">
        <w:t>í</w:t>
      </w:r>
      <w:r>
        <w:t xml:space="preserve">n – </w:t>
      </w:r>
      <w:r w:rsidR="00760F41">
        <w:t xml:space="preserve">Island, Čile, </w:t>
      </w:r>
      <w:r>
        <w:t xml:space="preserve">Grécko, </w:t>
      </w:r>
      <w:r w:rsidR="00760F41">
        <w:t xml:space="preserve">Kolumbia, Kostarika a </w:t>
      </w:r>
      <w:r>
        <w:t xml:space="preserve">Mexiko. V prírodovednej gramotnosti dosiahli naši žiaci výsledok v priemere o </w:t>
      </w:r>
      <w:r w:rsidR="00DC5D20">
        <w:t>2</w:t>
      </w:r>
      <w:r>
        <w:t xml:space="preserve"> body </w:t>
      </w:r>
      <w:r w:rsidR="00DC5D20">
        <w:t>niž</w:t>
      </w:r>
      <w:r>
        <w:t>ší oproti výsledku dosiahnutému v roku 201</w:t>
      </w:r>
      <w:r w:rsidR="00DC5D20">
        <w:t>8</w:t>
      </w:r>
      <w:r>
        <w:t xml:space="preserve">, čo </w:t>
      </w:r>
      <w:r w:rsidRPr="000D3F6D">
        <w:t>nepredstavuje významný</w:t>
      </w:r>
      <w:r>
        <w:t xml:space="preserve"> rozdiel. </w:t>
      </w:r>
      <w:r w:rsidR="00AF11B4">
        <w:t xml:space="preserve">Ak porovnávame s rokom 2015, kedy bola prírodovedná gramotnosť hlavnou sledovanou oblasťou, výsledok našich žiakov bol v roku 2022 v priemere o 1 bod vyšší, čo taktiež </w:t>
      </w:r>
      <w:r w:rsidR="00AF11B4" w:rsidRPr="000D3F6D">
        <w:t>nie je významný rozdiel</w:t>
      </w:r>
      <w:r w:rsidR="00AF11B4">
        <w:t xml:space="preserve">. Výsledok 15-ročných žiakov na </w:t>
      </w:r>
      <w:r w:rsidR="00AF11B4" w:rsidRPr="00F20497">
        <w:rPr>
          <w:b/>
          <w:bCs/>
        </w:rPr>
        <w:t>Slovensku</w:t>
      </w:r>
      <w:r w:rsidR="00AF11B4">
        <w:t xml:space="preserve"> je teda v</w:t>
      </w:r>
      <w:r w:rsidR="00DE3F3C">
        <w:t> </w:t>
      </w:r>
      <w:r w:rsidR="00AF11B4">
        <w:t>oblasti</w:t>
      </w:r>
      <w:r w:rsidR="00DE3F3C">
        <w:t xml:space="preserve"> </w:t>
      </w:r>
      <w:r w:rsidR="00AF11B4">
        <w:t xml:space="preserve">prírodovednej gramotnosti </w:t>
      </w:r>
      <w:r w:rsidR="00AF11B4" w:rsidRPr="00F20497">
        <w:rPr>
          <w:b/>
          <w:bCs/>
        </w:rPr>
        <w:t>porovnateľný</w:t>
      </w:r>
      <w:r w:rsidR="00AF11B4">
        <w:t xml:space="preserve"> s </w:t>
      </w:r>
      <w:r w:rsidR="00AF11B4" w:rsidRPr="00F20497">
        <w:rPr>
          <w:b/>
          <w:bCs/>
        </w:rPr>
        <w:t>predchádzajúcimi</w:t>
      </w:r>
      <w:r w:rsidR="00AF11B4">
        <w:t xml:space="preserve"> </w:t>
      </w:r>
      <w:r w:rsidR="00AF11B4" w:rsidRPr="00F20497">
        <w:rPr>
          <w:b/>
          <w:bCs/>
        </w:rPr>
        <w:t>cyklami</w:t>
      </w:r>
      <w:r w:rsidR="00AF11B4">
        <w:t xml:space="preserve"> (</w:t>
      </w:r>
      <w:r w:rsidR="00AF11B4" w:rsidRPr="00F20497">
        <w:rPr>
          <w:b/>
          <w:bCs/>
        </w:rPr>
        <w:t>2015, 2018</w:t>
      </w:r>
      <w:r w:rsidR="00AF11B4">
        <w:t xml:space="preserve">). </w:t>
      </w:r>
      <w:r>
        <w:t>V</w:t>
      </w:r>
      <w:r w:rsidR="00DE3F3C">
        <w:t> </w:t>
      </w:r>
      <w:r>
        <w:t xml:space="preserve">štúdiách PISA sú od roku 2006 výkony žiakov SR v prírodovednej gramotnosti pod priemerom krajín OECD. </w:t>
      </w:r>
    </w:p>
    <w:p w14:paraId="7A05ABBC" w14:textId="1C297B0A" w:rsidR="00857F4E" w:rsidRDefault="0037413B" w:rsidP="007B6F36">
      <w:pPr>
        <w:jc w:val="both"/>
      </w:pPr>
      <w:r>
        <w:t>V roku 20</w:t>
      </w:r>
      <w:r w:rsidR="00857F4E">
        <w:t>22</w:t>
      </w:r>
      <w:r>
        <w:t xml:space="preserve"> sa svoj</w:t>
      </w:r>
      <w:r w:rsidR="00DE3F3C">
        <w:t>í</w:t>
      </w:r>
      <w:r>
        <w:t xml:space="preserve">m výsledkom do </w:t>
      </w:r>
      <w:r w:rsidRPr="00F20497">
        <w:rPr>
          <w:b/>
          <w:bCs/>
        </w:rPr>
        <w:t>rizikovej skupiny</w:t>
      </w:r>
      <w:r>
        <w:t xml:space="preserve"> zaradilo </w:t>
      </w:r>
      <w:r w:rsidR="00857F4E" w:rsidRPr="00F20497">
        <w:rPr>
          <w:b/>
          <w:bCs/>
        </w:rPr>
        <w:t>30</w:t>
      </w:r>
      <w:r w:rsidRPr="00F20497">
        <w:rPr>
          <w:b/>
          <w:bCs/>
        </w:rPr>
        <w:t>,</w:t>
      </w:r>
      <w:r w:rsidR="00857F4E" w:rsidRPr="00F20497">
        <w:rPr>
          <w:b/>
          <w:bCs/>
        </w:rPr>
        <w:t>6</w:t>
      </w:r>
      <w:r w:rsidRPr="00F20497">
        <w:rPr>
          <w:b/>
          <w:bCs/>
        </w:rPr>
        <w:t xml:space="preserve"> %</w:t>
      </w:r>
      <w:r>
        <w:t xml:space="preserve"> </w:t>
      </w:r>
      <w:r w:rsidRPr="00F20497">
        <w:rPr>
          <w:b/>
          <w:bCs/>
        </w:rPr>
        <w:t>slovenských</w:t>
      </w:r>
      <w:r>
        <w:t xml:space="preserve"> žiakov, čo je </w:t>
      </w:r>
      <w:r w:rsidR="00857F4E" w:rsidRPr="00857F4E">
        <w:t xml:space="preserve">hodnota </w:t>
      </w:r>
      <w:r w:rsidR="00857F4E" w:rsidRPr="00F20497">
        <w:rPr>
          <w:b/>
          <w:bCs/>
        </w:rPr>
        <w:t>porovnateľná</w:t>
      </w:r>
      <w:r w:rsidR="005101A1">
        <w:t xml:space="preserve"> </w:t>
      </w:r>
      <w:r w:rsidR="00857F4E">
        <w:t xml:space="preserve">s rokom </w:t>
      </w:r>
      <w:r w:rsidR="00857F4E" w:rsidRPr="00F20497">
        <w:rPr>
          <w:b/>
          <w:bCs/>
        </w:rPr>
        <w:t>2018</w:t>
      </w:r>
      <w:r w:rsidR="00857F4E">
        <w:t xml:space="preserve"> (percentuálny podiel žiakov v rizikovej skupine v roku 2018 bol </w:t>
      </w:r>
      <w:r w:rsidR="00857F4E" w:rsidRPr="006F226C">
        <w:t xml:space="preserve">29,2 </w:t>
      </w:r>
      <w:r w:rsidR="00857F4E">
        <w:t>%).</w:t>
      </w:r>
      <w:r>
        <w:t xml:space="preserve"> Podiel </w:t>
      </w:r>
      <w:r w:rsidRPr="00F20497">
        <w:rPr>
          <w:b/>
          <w:bCs/>
        </w:rPr>
        <w:t>slovenských</w:t>
      </w:r>
      <w:r>
        <w:t xml:space="preserve"> žiakov v rizikovej skupine je </w:t>
      </w:r>
      <w:r w:rsidRPr="00F20497">
        <w:rPr>
          <w:b/>
          <w:bCs/>
        </w:rPr>
        <w:t xml:space="preserve">o </w:t>
      </w:r>
      <w:r w:rsidR="00857F4E" w:rsidRPr="00F20497">
        <w:rPr>
          <w:b/>
          <w:bCs/>
        </w:rPr>
        <w:t>6</w:t>
      </w:r>
      <w:r w:rsidRPr="00F20497">
        <w:rPr>
          <w:b/>
          <w:bCs/>
        </w:rPr>
        <w:t>,</w:t>
      </w:r>
      <w:r w:rsidR="00857F4E" w:rsidRPr="00F20497">
        <w:rPr>
          <w:b/>
          <w:bCs/>
        </w:rPr>
        <w:t>1</w:t>
      </w:r>
      <w:r w:rsidRPr="00F20497">
        <w:rPr>
          <w:b/>
          <w:bCs/>
        </w:rPr>
        <w:t xml:space="preserve"> percentuáln</w:t>
      </w:r>
      <w:r w:rsidR="00DE3F3C">
        <w:rPr>
          <w:b/>
          <w:bCs/>
        </w:rPr>
        <w:t>ych</w:t>
      </w:r>
      <w:r w:rsidRPr="00F20497">
        <w:rPr>
          <w:b/>
          <w:bCs/>
        </w:rPr>
        <w:t xml:space="preserve"> bod</w:t>
      </w:r>
      <w:r w:rsidR="00DE3F3C">
        <w:rPr>
          <w:b/>
          <w:bCs/>
        </w:rPr>
        <w:t>ov</w:t>
      </w:r>
      <w:r w:rsidRPr="00F20497">
        <w:rPr>
          <w:b/>
          <w:bCs/>
        </w:rPr>
        <w:t xml:space="preserve"> vyšší</w:t>
      </w:r>
      <w:r>
        <w:t xml:space="preserve"> </w:t>
      </w:r>
      <w:r w:rsidRPr="00F20497">
        <w:rPr>
          <w:b/>
          <w:bCs/>
        </w:rPr>
        <w:t>ako</w:t>
      </w:r>
      <w:r>
        <w:t xml:space="preserve"> v</w:t>
      </w:r>
      <w:r w:rsidR="00DE3F3C">
        <w:t> </w:t>
      </w:r>
      <w:r>
        <w:t xml:space="preserve">priemere krajín </w:t>
      </w:r>
      <w:r w:rsidRPr="00F20497">
        <w:rPr>
          <w:b/>
          <w:bCs/>
        </w:rPr>
        <w:t>OECD</w:t>
      </w:r>
      <w:r w:rsidR="006F226C">
        <w:t xml:space="preserve">, čo predstavuje </w:t>
      </w:r>
      <w:r w:rsidR="006F226C" w:rsidRPr="00F20497">
        <w:rPr>
          <w:b/>
          <w:bCs/>
        </w:rPr>
        <w:t>štatisticky významný rozdiel</w:t>
      </w:r>
      <w:r w:rsidR="006F226C">
        <w:t xml:space="preserve">. </w:t>
      </w:r>
    </w:p>
    <w:p w14:paraId="5C79C0E4" w14:textId="3472778E" w:rsidR="0079381E" w:rsidRDefault="00857F4E" w:rsidP="00C070BC">
      <w:pPr>
        <w:jc w:val="both"/>
      </w:pPr>
      <w:r>
        <w:t xml:space="preserve">Čo sa týka jednotlivých </w:t>
      </w:r>
      <w:r w:rsidR="00DE3F3C">
        <w:rPr>
          <w:b/>
          <w:bCs/>
        </w:rPr>
        <w:t>druh</w:t>
      </w:r>
      <w:r w:rsidRPr="007C5E01">
        <w:rPr>
          <w:b/>
          <w:bCs/>
        </w:rPr>
        <w:t>ov</w:t>
      </w:r>
      <w:r w:rsidR="007B6F36">
        <w:t xml:space="preserve"> slovenských</w:t>
      </w:r>
      <w:r>
        <w:t xml:space="preserve"> </w:t>
      </w:r>
      <w:r w:rsidRPr="007C5E01">
        <w:rPr>
          <w:b/>
          <w:bCs/>
        </w:rPr>
        <w:t>škôl</w:t>
      </w:r>
      <w:r>
        <w:t xml:space="preserve">, ktoré boli do merania PISA 2022 zaradené, </w:t>
      </w:r>
      <w:r w:rsidR="007B6F36">
        <w:t xml:space="preserve">je možné konštatovať, že najvyšší percentuálny podiel žiakov, ktorých zručnosti a vedomosti z oblasti prírodných vied nie sú </w:t>
      </w:r>
      <w:r w:rsidR="007B6F36" w:rsidRPr="007C5E01">
        <w:rPr>
          <w:b/>
          <w:bCs/>
        </w:rPr>
        <w:t>ani na základnej úrovni</w:t>
      </w:r>
      <w:r w:rsidR="00DE3F3C" w:rsidRPr="00AB5ABD">
        <w:t>,</w:t>
      </w:r>
      <w:r w:rsidR="007B6F36">
        <w:t xml:space="preserve"> navštevuje SOŠ </w:t>
      </w:r>
      <w:r w:rsidR="00502607">
        <w:t>nematuritné odbory</w:t>
      </w:r>
      <w:r w:rsidR="007B6F36">
        <w:t xml:space="preserve"> </w:t>
      </w:r>
      <w:r w:rsidR="007B6F36" w:rsidRPr="00A71FF5">
        <w:t>– až 72,2 % a ZŠ – až 40</w:t>
      </w:r>
      <w:r w:rsidR="00210CC0" w:rsidRPr="00A71FF5">
        <w:t>,8</w:t>
      </w:r>
      <w:r w:rsidR="007B6F36" w:rsidRPr="00A71FF5">
        <w:t xml:space="preserve"> </w:t>
      </w:r>
      <w:r w:rsidR="007B6F36">
        <w:t>%. Vysoký podiel žiakov, ktorí sa zaradili do rizikovej skupiny</w:t>
      </w:r>
      <w:r w:rsidR="00DE3F3C">
        <w:t>,</w:t>
      </w:r>
      <w:r w:rsidR="007B6F36">
        <w:t xml:space="preserve"> je viditeľný aj v SOŠ maturitné</w:t>
      </w:r>
      <w:r w:rsidR="00502607">
        <w:t xml:space="preserve"> odbory </w:t>
      </w:r>
      <w:r w:rsidR="007B6F36">
        <w:t xml:space="preserve">– </w:t>
      </w:r>
      <w:r w:rsidR="007B6F36" w:rsidRPr="00A71FF5">
        <w:t>21,</w:t>
      </w:r>
      <w:r w:rsidR="00C568DA" w:rsidRPr="00A71FF5">
        <w:t>2</w:t>
      </w:r>
      <w:r w:rsidR="00C568DA">
        <w:t> </w:t>
      </w:r>
      <w:r w:rsidR="007B6F36">
        <w:t xml:space="preserve">%. V porovnaní s rokom 2018 sa podiel žiakov v rizikovej skupine zvýšil na dvoch </w:t>
      </w:r>
      <w:r w:rsidR="00DE3F3C">
        <w:t>druh</w:t>
      </w:r>
      <w:r w:rsidR="007B6F36">
        <w:t xml:space="preserve">och škôl – SOŠ </w:t>
      </w:r>
      <w:r w:rsidR="00502607">
        <w:t>nematuritné odbory</w:t>
      </w:r>
      <w:r w:rsidR="00C070BC">
        <w:t xml:space="preserve"> (navýšenie o </w:t>
      </w:r>
      <w:r w:rsidR="00C070BC" w:rsidRPr="00A71FF5">
        <w:t xml:space="preserve">6,3 </w:t>
      </w:r>
      <w:r w:rsidR="00C070BC">
        <w:t>p.</w:t>
      </w:r>
      <w:r w:rsidR="00DE3F3C">
        <w:t xml:space="preserve"> </w:t>
      </w:r>
      <w:r w:rsidR="00C070BC">
        <w:t>b.) a 8-GYM (navýšenie o </w:t>
      </w:r>
      <w:r w:rsidR="00C070BC" w:rsidRPr="00A71FF5">
        <w:t>2,1</w:t>
      </w:r>
      <w:r w:rsidR="00C070BC" w:rsidRPr="00C568DA">
        <w:rPr>
          <w:color w:val="70AD47" w:themeColor="accent6"/>
        </w:rPr>
        <w:t xml:space="preserve"> </w:t>
      </w:r>
      <w:r w:rsidR="00C070BC">
        <w:t>p.</w:t>
      </w:r>
      <w:r w:rsidR="00DE3F3C">
        <w:t xml:space="preserve"> </w:t>
      </w:r>
      <w:r w:rsidR="00C070BC">
        <w:t xml:space="preserve">b.). V ostatných </w:t>
      </w:r>
      <w:r w:rsidR="00DE3F3C">
        <w:t>druh</w:t>
      </w:r>
      <w:r w:rsidR="00C070BC">
        <w:t xml:space="preserve">och škôl došlo k zníženiu podielu žiakov v rizikovej skupine, </w:t>
      </w:r>
      <w:r w:rsidR="00C070BC" w:rsidRPr="00F20497">
        <w:rPr>
          <w:b/>
          <w:bCs/>
        </w:rPr>
        <w:t>vo všetkých prípadoch však ide o zmeny, ktoré nie sú štatisticky významné</w:t>
      </w:r>
      <w:r w:rsidR="00C070BC">
        <w:t xml:space="preserve"> (ZŠ – 0,8 p.</w:t>
      </w:r>
      <w:r w:rsidR="00DE3F3C">
        <w:t xml:space="preserve"> </w:t>
      </w:r>
      <w:r w:rsidR="00C070BC">
        <w:t>b., 4-GYM – 0,1 p.</w:t>
      </w:r>
      <w:r w:rsidR="00DE3F3C">
        <w:t xml:space="preserve"> </w:t>
      </w:r>
      <w:r w:rsidR="00C070BC">
        <w:t>b., SOŠ (maturita) - 0,7 p.</w:t>
      </w:r>
      <w:r w:rsidR="00DE3F3C">
        <w:t xml:space="preserve"> </w:t>
      </w:r>
      <w:r w:rsidR="00C070BC">
        <w:t xml:space="preserve">b.). </w:t>
      </w:r>
    </w:p>
    <w:p w14:paraId="09F7450C" w14:textId="7E4F0859" w:rsidR="00090204" w:rsidRDefault="00F50758" w:rsidP="00470F5F">
      <w:pPr>
        <w:jc w:val="both"/>
      </w:pPr>
      <w:r>
        <w:t>R</w:t>
      </w:r>
      <w:r w:rsidR="0079381E">
        <w:t>ozdiely</w:t>
      </w:r>
      <w:r>
        <w:t xml:space="preserve"> v porovnaní s rokom 2018 </w:t>
      </w:r>
      <w:r w:rsidR="0079381E">
        <w:t>je možné pozorovať aj v rámci </w:t>
      </w:r>
      <w:r w:rsidR="0079381E" w:rsidRPr="00C568DA">
        <w:rPr>
          <w:b/>
          <w:bCs/>
        </w:rPr>
        <w:t>top skupiny</w:t>
      </w:r>
      <w:r w:rsidR="0079381E">
        <w:t xml:space="preserve">. </w:t>
      </w:r>
      <w:r>
        <w:t>Takmer v</w:t>
      </w:r>
      <w:r w:rsidR="00D24201">
        <w:t xml:space="preserve">o všetkých </w:t>
      </w:r>
      <w:r w:rsidR="00DE3F3C">
        <w:t>druh</w:t>
      </w:r>
      <w:r w:rsidR="00D24201">
        <w:t>och škôl došlo k </w:t>
      </w:r>
      <w:r w:rsidR="00D24201" w:rsidRPr="00F20497">
        <w:rPr>
          <w:b/>
          <w:bCs/>
        </w:rPr>
        <w:t>zvýšeniu</w:t>
      </w:r>
      <w:r w:rsidR="00D24201">
        <w:t xml:space="preserve"> percentuálneho podielu žiakov v top skupine, pričom </w:t>
      </w:r>
      <w:r w:rsidRPr="00C568DA">
        <w:t xml:space="preserve">ani jeden z rozdielov </w:t>
      </w:r>
      <w:r w:rsidRPr="00F20497">
        <w:rPr>
          <w:b/>
          <w:bCs/>
        </w:rPr>
        <w:t>nie je štatisticky významný</w:t>
      </w:r>
      <w:r w:rsidR="009A7115">
        <w:t xml:space="preserve"> </w:t>
      </w:r>
      <w:r>
        <w:t>– ZŠ zvýšenie o 0,1 p.</w:t>
      </w:r>
      <w:r w:rsidR="00DE3F3C">
        <w:t xml:space="preserve"> </w:t>
      </w:r>
      <w:r>
        <w:t>b., 8-GYM – zvýšenie o 2,2 p.</w:t>
      </w:r>
      <w:r w:rsidR="00DE3F3C">
        <w:t xml:space="preserve"> </w:t>
      </w:r>
      <w:r>
        <w:t>b., 4-GYM – zvýšenie o 4,9 p.</w:t>
      </w:r>
      <w:r w:rsidR="00DE3F3C">
        <w:t xml:space="preserve"> </w:t>
      </w:r>
      <w:r>
        <w:t>b.</w:t>
      </w:r>
      <w:r w:rsidR="00090204">
        <w:t>, SOŠ (maturitné) – zvýšenie o 0,2 p.</w:t>
      </w:r>
      <w:r w:rsidR="00DE3F3C">
        <w:t xml:space="preserve"> </w:t>
      </w:r>
      <w:r w:rsidR="00090204">
        <w:t>b.</w:t>
      </w:r>
      <w:r w:rsidR="009A7115">
        <w:t>, SOŠ (nematuritné) – 0 p.</w:t>
      </w:r>
      <w:r w:rsidR="00DE3F3C">
        <w:t xml:space="preserve"> </w:t>
      </w:r>
      <w:r w:rsidR="009A7115">
        <w:t>b.</w:t>
      </w:r>
      <w:r w:rsidR="00090204">
        <w:t xml:space="preserve"> </w:t>
      </w:r>
    </w:p>
    <w:p w14:paraId="73D402BA" w14:textId="3A896D74" w:rsidR="00090204" w:rsidRDefault="00090204" w:rsidP="00470F5F">
      <w:pPr>
        <w:jc w:val="both"/>
      </w:pPr>
      <w:r>
        <w:t>Pre porovnanie uvádzame aj percentuálny podiel 15-ročných žiakov v top skupine v rámci Slovenska</w:t>
      </w:r>
      <w:r w:rsidR="00C568DA">
        <w:t xml:space="preserve"> (4,3 %)</w:t>
      </w:r>
      <w:r>
        <w:t xml:space="preserve"> a</w:t>
      </w:r>
      <w:r w:rsidR="00470F5F">
        <w:t> </w:t>
      </w:r>
      <w:r w:rsidR="00C568DA">
        <w:t> v </w:t>
      </w:r>
      <w:r>
        <w:t>priemer</w:t>
      </w:r>
      <w:r w:rsidR="00470F5F">
        <w:t>e</w:t>
      </w:r>
      <w:r>
        <w:t xml:space="preserve"> krajín OECD</w:t>
      </w:r>
      <w:r w:rsidR="00C568DA">
        <w:t xml:space="preserve"> (7,5 %)</w:t>
      </w:r>
      <w:r>
        <w:t xml:space="preserve">. </w:t>
      </w:r>
      <w:r w:rsidR="00470F5F">
        <w:t xml:space="preserve">Podiel </w:t>
      </w:r>
      <w:r w:rsidR="00470F5F" w:rsidRPr="00F20497">
        <w:rPr>
          <w:b/>
          <w:bCs/>
        </w:rPr>
        <w:t>slovenských žiakov</w:t>
      </w:r>
      <w:r w:rsidR="00470F5F">
        <w:t xml:space="preserve"> v top skupine je </w:t>
      </w:r>
      <w:r w:rsidR="00470F5F" w:rsidRPr="00F20497">
        <w:rPr>
          <w:b/>
          <w:bCs/>
        </w:rPr>
        <w:t>o </w:t>
      </w:r>
      <w:r w:rsidR="00213C9A" w:rsidRPr="00F20497">
        <w:rPr>
          <w:b/>
          <w:bCs/>
        </w:rPr>
        <w:t>3,2</w:t>
      </w:r>
      <w:r w:rsidR="00470F5F">
        <w:t xml:space="preserve"> percentuálnych bodov </w:t>
      </w:r>
      <w:r w:rsidR="00470F5F" w:rsidRPr="00F20497">
        <w:rPr>
          <w:b/>
          <w:bCs/>
        </w:rPr>
        <w:t>nižší</w:t>
      </w:r>
      <w:r w:rsidR="00DE3F3C">
        <w:rPr>
          <w:b/>
          <w:bCs/>
        </w:rPr>
        <w:t>,</w:t>
      </w:r>
      <w:r w:rsidR="00470F5F" w:rsidRPr="00F20497">
        <w:rPr>
          <w:b/>
          <w:bCs/>
        </w:rPr>
        <w:t xml:space="preserve"> ako je priemer krajín OECD</w:t>
      </w:r>
      <w:r w:rsidR="00470F5F">
        <w:t xml:space="preserve">. </w:t>
      </w:r>
      <w:r w:rsidR="00470F5F" w:rsidRPr="00C568DA">
        <w:t xml:space="preserve">Rozdiel je </w:t>
      </w:r>
      <w:r w:rsidR="00470F5F" w:rsidRPr="00F20497">
        <w:rPr>
          <w:b/>
          <w:bCs/>
        </w:rPr>
        <w:t>štatisticky významný</w:t>
      </w:r>
      <w:r w:rsidR="00470F5F">
        <w:t xml:space="preserve">. </w:t>
      </w:r>
    </w:p>
    <w:p w14:paraId="000761E6" w14:textId="77777777" w:rsidR="005B5612" w:rsidRDefault="005B5612">
      <w:pPr>
        <w:rPr>
          <w:b/>
          <w:bCs/>
        </w:rPr>
      </w:pPr>
    </w:p>
    <w:p w14:paraId="254371F4" w14:textId="37B6EF4E" w:rsidR="00B262F2" w:rsidRPr="002B1541" w:rsidRDefault="00B262F2">
      <w:pPr>
        <w:rPr>
          <w:b/>
          <w:bCs/>
        </w:rPr>
      </w:pPr>
      <w:r w:rsidRPr="002B1541">
        <w:rPr>
          <w:b/>
          <w:bCs/>
        </w:rPr>
        <w:t>ZÁKLADNÉ INFORMÁCIE O ŠTÚDII OECD PISA 2022</w:t>
      </w:r>
    </w:p>
    <w:p w14:paraId="138CF6D2" w14:textId="6B2E7CDD" w:rsidR="00474EE7" w:rsidRDefault="00B262F2" w:rsidP="00864101">
      <w:pPr>
        <w:jc w:val="both"/>
      </w:pPr>
      <w:r>
        <w:t xml:space="preserve">Štúdia PISA poskytuje údaje o vedomostiach a zručnostiach 15-ročných žiakov, škôl a krajín v oblasti čitateľskej, matematickej a prírodovednej gramotnosti. </w:t>
      </w:r>
      <w:r w:rsidR="009A7115">
        <w:t>U</w:t>
      </w:r>
      <w:r>
        <w:t xml:space="preserve">skutočňuje </w:t>
      </w:r>
      <w:r w:rsidR="00DE3F3C">
        <w:t xml:space="preserve">sa </w:t>
      </w:r>
      <w:r>
        <w:t xml:space="preserve">od roku 2000 </w:t>
      </w:r>
      <w:r w:rsidR="009A7115">
        <w:t>v </w:t>
      </w:r>
      <w:r>
        <w:t xml:space="preserve">trojročných cykloch. Slovenská republika sa prvýkrát zúčastnila </w:t>
      </w:r>
      <w:r w:rsidR="00DE3F3C">
        <w:t xml:space="preserve">v </w:t>
      </w:r>
      <w:r>
        <w:t>štúdi</w:t>
      </w:r>
      <w:r w:rsidR="00DE3F3C">
        <w:t>i</w:t>
      </w:r>
      <w:r>
        <w:t xml:space="preserve"> PISA v roku 2003, už ako členská krajina OECD. Hlavnou sledovanou oblasťou ostatného cyklu PISA 2022 bola </w:t>
      </w:r>
      <w:r w:rsidRPr="005B5612">
        <w:rPr>
          <w:b/>
          <w:bCs/>
        </w:rPr>
        <w:t>matematická gramotnosť</w:t>
      </w:r>
      <w:r>
        <w:t>. V cykle štúdie PISA uskutočneného v roku 2022 bola krajinám poskytnutá možnosť testovania aj ďalších oblastí, a to finančnej gramotnosti a oblasti tvorivého myslenia. Slovenská republika sa zapojila iba do testovania oblasti tvorivého myslenia. Testovanie sa vo väčšine zúčastnených krajín, vrátane Slovenska, realizovalo výhradne elektronickou formou (</w:t>
      </w:r>
      <w:proofErr w:type="spellStart"/>
      <w:r>
        <w:t>offline</w:t>
      </w:r>
      <w:proofErr w:type="spellEnd"/>
      <w:r>
        <w:t xml:space="preserve">), teda žiaci vypracovávali dvojhodinový test na počítači. Po ukončení testu žiaci ešte vyplnili žiacky dotazník </w:t>
      </w:r>
      <w:r w:rsidR="009A7115">
        <w:t>a </w:t>
      </w:r>
      <w:r>
        <w:t xml:space="preserve">riaditelia zapojených škôl vypĺňali školský dotazník. Do tohto cyklu štúdie sa zapojilo </w:t>
      </w:r>
      <w:r w:rsidR="009A7115">
        <w:t xml:space="preserve">81 </w:t>
      </w:r>
      <w:r>
        <w:t>krajín (</w:t>
      </w:r>
      <w:r w:rsidR="009A7115">
        <w:t xml:space="preserve">37 </w:t>
      </w:r>
      <w:r>
        <w:t xml:space="preserve">krajín OECD a </w:t>
      </w:r>
      <w:r w:rsidR="009A7115">
        <w:t xml:space="preserve">44 </w:t>
      </w:r>
      <w:r>
        <w:t>tzv. partnerských krajín a</w:t>
      </w:r>
      <w:r w:rsidR="00DE3F3C">
        <w:t> </w:t>
      </w:r>
      <w:r>
        <w:t xml:space="preserve">regiónov). Celkovo bolo do testovania zapojených </w:t>
      </w:r>
      <w:r w:rsidR="009507E2">
        <w:t xml:space="preserve">viac ako </w:t>
      </w:r>
      <w:r w:rsidR="00474EE7" w:rsidRPr="00474EE7">
        <w:t xml:space="preserve">610 </w:t>
      </w:r>
      <w:r w:rsidRPr="00474EE7">
        <w:t>000 žiakov</w:t>
      </w:r>
      <w:r>
        <w:t xml:space="preserve"> sveta. </w:t>
      </w:r>
      <w:r w:rsidR="00DE3F3C">
        <w:t>Na h</w:t>
      </w:r>
      <w:r>
        <w:t>lavn</w:t>
      </w:r>
      <w:r w:rsidR="00DE3F3C">
        <w:t>om</w:t>
      </w:r>
      <w:r>
        <w:t xml:space="preserve"> meran</w:t>
      </w:r>
      <w:r w:rsidR="00DE3F3C">
        <w:t>í</w:t>
      </w:r>
      <w:r>
        <w:t xml:space="preserve"> štúdie PISA 2022, ktoré uskutočnil </w:t>
      </w:r>
      <w:proofErr w:type="spellStart"/>
      <w:r w:rsidR="009A7115">
        <w:t>NIVaM</w:t>
      </w:r>
      <w:proofErr w:type="spellEnd"/>
      <w:r w:rsidR="009A7115">
        <w:t xml:space="preserve"> </w:t>
      </w:r>
      <w:r>
        <w:t xml:space="preserve">v období </w:t>
      </w:r>
      <w:r w:rsidR="00DE3F3C">
        <w:t xml:space="preserve">od </w:t>
      </w:r>
      <w:r>
        <w:t>25.</w:t>
      </w:r>
      <w:r w:rsidR="00DE3F3C">
        <w:t xml:space="preserve"> </w:t>
      </w:r>
      <w:r>
        <w:t xml:space="preserve">apríla </w:t>
      </w:r>
      <w:r w:rsidR="00DE3F3C">
        <w:t>do</w:t>
      </w:r>
      <w:r>
        <w:t xml:space="preserve"> 13. mája 2022, sa zúčastnilo 292 škôl (ZŠ, 4-ročné a 8-ročné gymnáziá, SOŠ). Celkovo bolo na Slovensku otestovaných cca 5 800 15-ročných žiakov</w:t>
      </w:r>
      <w:r w:rsidR="005B5612">
        <w:t xml:space="preserve">. </w:t>
      </w:r>
    </w:p>
    <w:p w14:paraId="04C4F5CF" w14:textId="0CAA2F44" w:rsidR="00663FFB" w:rsidRDefault="00B262F2" w:rsidP="00864101">
      <w:pPr>
        <w:jc w:val="both"/>
      </w:pPr>
      <w:r>
        <w:lastRenderedPageBreak/>
        <w:t>Viac informácií o štúdii OECD PISA 20</w:t>
      </w:r>
      <w:r w:rsidR="006D57EA">
        <w:t>22</w:t>
      </w:r>
      <w:r>
        <w:t xml:space="preserve">, </w:t>
      </w:r>
      <w:r w:rsidR="005B5612">
        <w:t>S</w:t>
      </w:r>
      <w:r>
        <w:t>právu PISA 20</w:t>
      </w:r>
      <w:r w:rsidR="00FA39F1">
        <w:t>22</w:t>
      </w:r>
      <w:r>
        <w:t xml:space="preserve"> Slovensko, podrobnejšie analýzy a trendy, </w:t>
      </w:r>
      <w:proofErr w:type="spellStart"/>
      <w:r>
        <w:t>infografiky</w:t>
      </w:r>
      <w:proofErr w:type="spellEnd"/>
      <w:r>
        <w:t xml:space="preserve"> PISA nájdete na webovom sídle </w:t>
      </w:r>
      <w:hyperlink r:id="rId6" w:history="1">
        <w:proofErr w:type="spellStart"/>
        <w:r w:rsidR="009A7115" w:rsidRPr="00474EE7">
          <w:rPr>
            <w:rStyle w:val="Hypertextovprepojenie"/>
            <w:b/>
            <w:bCs/>
          </w:rPr>
          <w:t>NIVaM</w:t>
        </w:r>
        <w:proofErr w:type="spellEnd"/>
      </w:hyperlink>
      <w:r w:rsidR="009A7115">
        <w:t xml:space="preserve">. </w:t>
      </w:r>
    </w:p>
    <w:sectPr w:rsidR="00663F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74F"/>
    <w:rsid w:val="000010FE"/>
    <w:rsid w:val="0002253D"/>
    <w:rsid w:val="00090204"/>
    <w:rsid w:val="000A36F2"/>
    <w:rsid w:val="000B73E3"/>
    <w:rsid w:val="000D3F6D"/>
    <w:rsid w:val="000D4D68"/>
    <w:rsid w:val="000E2C96"/>
    <w:rsid w:val="000E3CA4"/>
    <w:rsid w:val="00110A92"/>
    <w:rsid w:val="0014438D"/>
    <w:rsid w:val="001868CD"/>
    <w:rsid w:val="00197FBB"/>
    <w:rsid w:val="001B6A85"/>
    <w:rsid w:val="001D5115"/>
    <w:rsid w:val="00203940"/>
    <w:rsid w:val="00210CC0"/>
    <w:rsid w:val="00213C9A"/>
    <w:rsid w:val="00240B78"/>
    <w:rsid w:val="002447B4"/>
    <w:rsid w:val="002607B5"/>
    <w:rsid w:val="002650A5"/>
    <w:rsid w:val="00287CAC"/>
    <w:rsid w:val="002B1541"/>
    <w:rsid w:val="002B4FCE"/>
    <w:rsid w:val="002D2CAA"/>
    <w:rsid w:val="002D3459"/>
    <w:rsid w:val="002F2D35"/>
    <w:rsid w:val="00305E0A"/>
    <w:rsid w:val="00324D7A"/>
    <w:rsid w:val="003529C4"/>
    <w:rsid w:val="0037413B"/>
    <w:rsid w:val="003D3307"/>
    <w:rsid w:val="003E7EBD"/>
    <w:rsid w:val="003F63E0"/>
    <w:rsid w:val="0040715C"/>
    <w:rsid w:val="0041121E"/>
    <w:rsid w:val="00427D24"/>
    <w:rsid w:val="004316D4"/>
    <w:rsid w:val="004537E3"/>
    <w:rsid w:val="00470F5F"/>
    <w:rsid w:val="00474EE7"/>
    <w:rsid w:val="004C30D8"/>
    <w:rsid w:val="004D16A1"/>
    <w:rsid w:val="004F0128"/>
    <w:rsid w:val="00502607"/>
    <w:rsid w:val="005101A1"/>
    <w:rsid w:val="00511272"/>
    <w:rsid w:val="00520D1D"/>
    <w:rsid w:val="00557534"/>
    <w:rsid w:val="00562412"/>
    <w:rsid w:val="00575A98"/>
    <w:rsid w:val="005B474A"/>
    <w:rsid w:val="005B5612"/>
    <w:rsid w:val="005F0FBA"/>
    <w:rsid w:val="005F4F5D"/>
    <w:rsid w:val="00607F1A"/>
    <w:rsid w:val="00663FFB"/>
    <w:rsid w:val="00676DF4"/>
    <w:rsid w:val="006776E8"/>
    <w:rsid w:val="00696FC1"/>
    <w:rsid w:val="006D57EA"/>
    <w:rsid w:val="006D6E8C"/>
    <w:rsid w:val="006F0616"/>
    <w:rsid w:val="006F226C"/>
    <w:rsid w:val="00722EC3"/>
    <w:rsid w:val="00760F41"/>
    <w:rsid w:val="0079381E"/>
    <w:rsid w:val="0079522C"/>
    <w:rsid w:val="007B4F38"/>
    <w:rsid w:val="007B6F36"/>
    <w:rsid w:val="007C5E01"/>
    <w:rsid w:val="007D484E"/>
    <w:rsid w:val="007D727E"/>
    <w:rsid w:val="008146B9"/>
    <w:rsid w:val="008303AF"/>
    <w:rsid w:val="00857F4E"/>
    <w:rsid w:val="00864101"/>
    <w:rsid w:val="00882CAB"/>
    <w:rsid w:val="00884EFB"/>
    <w:rsid w:val="00894C72"/>
    <w:rsid w:val="008B3991"/>
    <w:rsid w:val="009066CA"/>
    <w:rsid w:val="00925B98"/>
    <w:rsid w:val="0094047A"/>
    <w:rsid w:val="009507E2"/>
    <w:rsid w:val="0095570A"/>
    <w:rsid w:val="0095782E"/>
    <w:rsid w:val="00960CA1"/>
    <w:rsid w:val="0098274F"/>
    <w:rsid w:val="00997A80"/>
    <w:rsid w:val="009A46D4"/>
    <w:rsid w:val="009A7115"/>
    <w:rsid w:val="009C3934"/>
    <w:rsid w:val="00A55BB8"/>
    <w:rsid w:val="00A71FF5"/>
    <w:rsid w:val="00A72B33"/>
    <w:rsid w:val="00AB5ABD"/>
    <w:rsid w:val="00AE0763"/>
    <w:rsid w:val="00AE3566"/>
    <w:rsid w:val="00AF11B4"/>
    <w:rsid w:val="00AF2416"/>
    <w:rsid w:val="00B2034C"/>
    <w:rsid w:val="00B262F2"/>
    <w:rsid w:val="00B27652"/>
    <w:rsid w:val="00B57D52"/>
    <w:rsid w:val="00B905A2"/>
    <w:rsid w:val="00B97586"/>
    <w:rsid w:val="00BA1746"/>
    <w:rsid w:val="00BB5962"/>
    <w:rsid w:val="00BC7E0B"/>
    <w:rsid w:val="00BD0461"/>
    <w:rsid w:val="00BE36FF"/>
    <w:rsid w:val="00BF5508"/>
    <w:rsid w:val="00C070BC"/>
    <w:rsid w:val="00C4281E"/>
    <w:rsid w:val="00C568DA"/>
    <w:rsid w:val="00C60257"/>
    <w:rsid w:val="00C90A08"/>
    <w:rsid w:val="00CA426D"/>
    <w:rsid w:val="00CB7538"/>
    <w:rsid w:val="00CC7BF8"/>
    <w:rsid w:val="00CF1480"/>
    <w:rsid w:val="00D00F22"/>
    <w:rsid w:val="00D24201"/>
    <w:rsid w:val="00D82FCA"/>
    <w:rsid w:val="00D91C9E"/>
    <w:rsid w:val="00DB4110"/>
    <w:rsid w:val="00DB7B7A"/>
    <w:rsid w:val="00DC5D20"/>
    <w:rsid w:val="00DC7DBA"/>
    <w:rsid w:val="00DE3F3C"/>
    <w:rsid w:val="00E13675"/>
    <w:rsid w:val="00E4775B"/>
    <w:rsid w:val="00E50CA9"/>
    <w:rsid w:val="00E52832"/>
    <w:rsid w:val="00E83299"/>
    <w:rsid w:val="00EC0C5F"/>
    <w:rsid w:val="00F20497"/>
    <w:rsid w:val="00F461E4"/>
    <w:rsid w:val="00F46910"/>
    <w:rsid w:val="00F50758"/>
    <w:rsid w:val="00FA39F1"/>
    <w:rsid w:val="00FC5363"/>
    <w:rsid w:val="00FD6E59"/>
    <w:rsid w:val="00FE0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531B2"/>
  <w15:chartTrackingRefBased/>
  <w15:docId w15:val="{5170185C-DD82-484E-8041-E116C5155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B97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997A80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997A80"/>
    <w:rPr>
      <w:color w:val="605E5C"/>
      <w:shd w:val="clear" w:color="auto" w:fill="E1DFDD"/>
    </w:rPr>
  </w:style>
  <w:style w:type="paragraph" w:styleId="Revzia">
    <w:name w:val="Revision"/>
    <w:hidden/>
    <w:uiPriority w:val="99"/>
    <w:semiHidden/>
    <w:rsid w:val="00287CAC"/>
    <w:pPr>
      <w:spacing w:after="0" w:line="240" w:lineRule="auto"/>
    </w:pPr>
  </w:style>
  <w:style w:type="character" w:styleId="Odkaznakomentr">
    <w:name w:val="annotation reference"/>
    <w:basedOn w:val="Predvolenpsmoodseku"/>
    <w:uiPriority w:val="99"/>
    <w:semiHidden/>
    <w:unhideWhenUsed/>
    <w:rsid w:val="004D16A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D16A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D16A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D16A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D16A1"/>
    <w:rPr>
      <w:b/>
      <w:bCs/>
      <w:sz w:val="20"/>
      <w:szCs w:val="2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96FC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2.nucem.sk/sk/merania/medzinarodne-merania/pisa/cyklus/2022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2167</Words>
  <Characters>12352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Miklovičová</dc:creator>
  <cp:keywords/>
  <dc:description/>
  <cp:lastModifiedBy>Rado Baťo</cp:lastModifiedBy>
  <cp:revision>2</cp:revision>
  <dcterms:created xsi:type="dcterms:W3CDTF">2023-11-29T09:58:00Z</dcterms:created>
  <dcterms:modified xsi:type="dcterms:W3CDTF">2023-11-29T09:58:00Z</dcterms:modified>
</cp:coreProperties>
</file>